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28"/>
        </w:rPr>
        <w:t>UNIVERSIDAD TECNOLÓGICA NACIONAL</w:t>
      </w:r>
    </w:p>
    <w:p>
      <w:pPr>
        <w:jc w:val="center"/>
      </w:pPr>
      <w:r>
        <w:rPr>
          <w:rFonts w:ascii="Times New Roman" w:hAnsi="Times New Roman"/>
          <w:b/>
          <w:i w:val="0"/>
          <w:sz w:val="26"/>
        </w:rPr>
        <w:t>FACULTAD REGIONAL PARANÁ</w:t>
      </w:r>
    </w:p>
    <w:p/>
    <w:p>
      <w:pPr>
        <w:jc w:val="center"/>
      </w:pPr>
      <w:r>
        <w:rPr>
          <w:rFonts w:ascii="Times New Roman" w:hAnsi="Times New Roman"/>
          <w:b/>
          <w:i w:val="0"/>
          <w:sz w:val="24"/>
        </w:rPr>
        <w:t>PLAN DE TESIS</w:t>
      </w:r>
    </w:p>
    <w:p/>
    <w:p/>
    <w:p>
      <w:pPr>
        <w:jc w:val="center"/>
      </w:pPr>
      <w:r>
        <w:rPr>
          <w:rFonts w:ascii="Times New Roman" w:hAnsi="Times New Roman"/>
          <w:b/>
          <w:i w:val="0"/>
          <w:sz w:val="32"/>
        </w:rPr>
        <w:t>Predicción de la Probabilidad de Default bajo el marco regulatorio</w:t>
        <w:br/>
        <w:t>IFRS 9 utilizando técnicas de aprendizaje automático</w:t>
        <w:br/>
        <w:t>y datos crediticios abiertos de Freddie Mac</w:t>
      </w:r>
    </w:p>
    <w:p/>
    <w:p/>
    <w:p>
      <w:pPr>
        <w:jc w:val="center"/>
      </w:pPr>
      <w:r>
        <w:rPr>
          <w:rFonts w:ascii="Times New Roman" w:hAnsi="Times New Roman"/>
          <w:b w:val="0"/>
          <w:i w:val="0"/>
          <w:sz w:val="24"/>
        </w:rPr>
        <w:t>Por: Lic. Sebastián Emiliano Meier</w:t>
      </w:r>
    </w:p>
    <w:p>
      <w:pPr>
        <w:jc w:val="center"/>
      </w:pPr>
      <w:r>
        <w:rPr>
          <w:rFonts w:ascii="Times New Roman" w:hAnsi="Times New Roman"/>
          <w:b w:val="0"/>
          <w:i w:val="0"/>
          <w:sz w:val="24"/>
        </w:rPr>
      </w:r>
    </w:p>
    <w:p>
      <w:pPr>
        <w:jc w:val="center"/>
      </w:pPr>
      <w:r>
        <w:rPr>
          <w:rFonts w:ascii="Times New Roman" w:hAnsi="Times New Roman"/>
          <w:b/>
          <w:i w:val="0"/>
          <w:sz w:val="24"/>
        </w:rPr>
        <w:t>MAESTRÍA EN MINERÍA DE DATOS</w:t>
      </w:r>
    </w:p>
    <w:p>
      <w:pPr>
        <w:jc w:val="center"/>
      </w:pPr>
      <w:r>
        <w:rPr>
          <w:rFonts w:ascii="Times New Roman" w:hAnsi="Times New Roman"/>
          <w:b w:val="0"/>
          <w:i w:val="0"/>
          <w:sz w:val="24"/>
        </w:rPr>
      </w:r>
    </w:p>
    <w:p>
      <w:pPr>
        <w:jc w:val="center"/>
      </w:pPr>
      <w:r>
        <w:rPr>
          <w:rFonts w:ascii="Times New Roman" w:hAnsi="Times New Roman"/>
          <w:b w:val="0"/>
          <w:i w:val="0"/>
          <w:sz w:val="24"/>
        </w:rPr>
        <w:t>Director/a: Mag. Ing. Gustavo Denicolay</w:t>
      </w:r>
    </w:p>
    <w:p>
      <w:pPr>
        <w:jc w:val="center"/>
      </w:pPr>
      <w:r>
        <w:rPr>
          <w:rFonts w:ascii="Times New Roman" w:hAnsi="Times New Roman"/>
          <w:b w:val="0"/>
          <w:i w:val="0"/>
          <w:sz w:val="24"/>
        </w:rPr>
      </w:r>
    </w:p>
    <w:p>
      <w:pPr>
        <w:jc w:val="center"/>
      </w:pPr>
      <w:r>
        <w:rPr>
          <w:rFonts w:ascii="Times New Roman" w:hAnsi="Times New Roman"/>
          <w:b w:val="0"/>
          <w:i w:val="0"/>
          <w:sz w:val="24"/>
        </w:rPr>
        <w:t>Paraná, Argentina</w:t>
      </w:r>
    </w:p>
    <w:p>
      <w:pPr>
        <w:jc w:val="center"/>
      </w:pPr>
      <w:r>
        <w:rPr>
          <w:rFonts w:ascii="Times New Roman" w:hAnsi="Times New Roman"/>
          <w:b w:val="0"/>
          <w:i w:val="0"/>
          <w:sz w:val="24"/>
        </w:rPr>
        <w:t>2025</w:t>
      </w:r>
    </w:p>
    <w:p>
      <w:r>
        <w:br w:type="page"/>
      </w:r>
    </w:p>
    <w:p>
      <w:pPr>
        <w:pStyle w:val="Heading1"/>
        <w:jc w:val="left"/>
      </w:pPr>
      <w:r>
        <w:rPr>
          <w:rFonts w:ascii="Times New Roman" w:hAnsi="Times New Roman"/>
          <w:b/>
          <w:color w:val="000000"/>
          <w:sz w:val="28"/>
        </w:rPr>
        <w:t>Resumen</w:t>
      </w:r>
    </w:p>
    <w:p>
      <w:pPr>
        <w:spacing w:before="0" w:after="120" w:line="360" w:lineRule="exact"/>
        <w:jc w:val="both"/>
      </w:pPr>
      <w:r>
        <w:rPr>
          <w:rFonts w:ascii="Times New Roman" w:hAnsi="Times New Roman"/>
          <w:b w:val="0"/>
          <w:i w:val="0"/>
          <w:sz w:val="24"/>
        </w:rPr>
        <w:t>El presente trabajo de tesis desarrolla un modelo predictivo de Probabilidad de Default (PD) conforme al marco regulatorio IFRS 9, aplicando técnicas de aprendizaje automático sobre el dataset público de Freddie Mac Single-Family Loan-Level. El dataset utilizado comprende 400,000 préstamos hipotecarios con un total de 14,603,212 observaciones mensuales, correspondientes a los años de originación 2016 a 2024 (excluyendo 2021 por indisponibilidad de datos). La tasa de default global observada es de 0.83%. Se implementan y comparan tres modelos: Regresión Logística (baseline regulatorio), XGBoost y Random Forest. El modelo final es calibrado bajo el enfoque Point-In-Time (PIT) y se genera una curva de Lifetime PD conforme a IFRS 9. La validación incluye métricas regulatorias (AUC, Gini, KS, PSI, Brier Score) y análisis de explicabilidad con SHAP values.</w:t>
      </w:r>
    </w:p>
    <w:p>
      <w:pPr>
        <w:spacing w:before="0" w:after="120" w:line="360" w:lineRule="exact"/>
        <w:jc w:val="both"/>
      </w:pPr>
      <w:r>
        <w:rPr>
          <w:rFonts w:ascii="Times New Roman" w:hAnsi="Times New Roman"/>
          <w:b w:val="0"/>
          <w:i/>
          <w:sz w:val="22"/>
        </w:rPr>
        <w:t>Palabras clave: IFRS 9, Probabilidad de Default, Expected Credit Loss, XGBoost, SHAP, Freddie Mac, Machine Learning, Riesgo Crediticio.</w:t>
      </w:r>
    </w:p>
    <w:p>
      <w:r>
        <w:br w:type="page"/>
      </w:r>
    </w:p>
    <w:p>
      <w:pPr>
        <w:pStyle w:val="Heading1"/>
        <w:jc w:val="left"/>
      </w:pPr>
      <w:r>
        <w:rPr>
          <w:rFonts w:ascii="Times New Roman" w:hAnsi="Times New Roman"/>
          <w:b/>
          <w:color w:val="000000"/>
          <w:sz w:val="28"/>
        </w:rPr>
        <w:t>1. Fundamentación y Justificación del Tema</w:t>
      </w:r>
    </w:p>
    <w:p>
      <w:pPr>
        <w:spacing w:before="0" w:after="120" w:line="360" w:lineRule="exact"/>
        <w:jc w:val="both"/>
      </w:pPr>
      <w:r>
        <w:rPr>
          <w:rFonts w:ascii="Times New Roman" w:hAnsi="Times New Roman"/>
          <w:b w:val="0"/>
          <w:i w:val="0"/>
          <w:sz w:val="24"/>
        </w:rPr>
        <w:t>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Expected Credit Loss (ECL). Este modelo requiere que las instituciones estimen de forma prospectiva la Probabilidad de Default (PD), la Pérdida Dada el Default (LGD) y la Exposición al Default (EAD) para calcular las pérdidas esperadas de sus carteras.</w:t>
      </w:r>
    </w:p>
    <w:p>
      <w:pPr>
        <w:spacing w:before="0" w:after="120" w:line="360" w:lineRule="exact"/>
        <w:jc w:val="both"/>
      </w:pPr>
      <w:r>
        <w:rPr>
          <w:rFonts w:ascii="Times New Roman" w:hAnsi="Times New Roman"/>
          <w:b w:val="0"/>
          <w:i w:val="0"/>
          <w:sz w:val="24"/>
        </w:rPr>
        <w:t>A diferencia del modelo contable anterior (IAS 39), IFRS 9 exige una aproximación forward-looking,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w:t>
      </w:r>
    </w:p>
    <w:p>
      <w:pPr>
        <w:spacing w:before="0" w:after="120" w:line="360" w:lineRule="exact"/>
        <w:jc w:val="both"/>
      </w:pPr>
      <w:r>
        <w:rPr>
          <w:rFonts w:ascii="Times New Roman" w:hAnsi="Times New Roman"/>
          <w:b w:val="0"/>
          <w:i w:val="0"/>
          <w:sz w:val="24"/>
        </w:rPr>
        <w:t>En América Latina y particularmente en Argentina, el proceso de adopción de IFRS 9 se encuentra en expansión. El Banco Central de la República Argentina (BCRA) ha avanzado en la convergencia normativa hacia IFRS 9, especialmente para entidades financieras de mayor tamaño, generando una necesidad creciente de profesionales con formación técnica sólida en modelización IFRS 9.</w:t>
      </w:r>
    </w:p>
    <w:p>
      <w:pPr>
        <w:spacing w:before="0" w:after="120" w:line="360" w:lineRule="exact"/>
        <w:jc w:val="both"/>
      </w:pPr>
      <w:r>
        <w:rPr>
          <w:rFonts w:ascii="Times New Roman" w:hAnsi="Times New Roman"/>
          <w:b w:val="0"/>
          <w:i w:val="0"/>
          <w:sz w:val="24"/>
        </w:rPr>
        <w:t>El desarrollo de esta tesis se enmarca en ese contexto: busca contribuir a la literatura aplicada y a la práctica profesional presentando una metodología reproducible para estimar la PD bajo IFRS 9 utilizando datos públicos abiertos del Freddie Mac Single-Family Loan-Level Dataset. El uso de este dataset permite reproducir la estructura de información de una entidad financiera real, incluyendo variables de monto, tasa, LTV, DPD, score crediticio, fechas de pago, eventos de mora y pérdida.</w:t>
      </w:r>
    </w:p>
    <w:p>
      <w:r>
        <w:br w:type="page"/>
      </w:r>
    </w:p>
    <w:p>
      <w:pPr>
        <w:pStyle w:val="Heading1"/>
        <w:jc w:val="left"/>
      </w:pPr>
      <w:r>
        <w:rPr>
          <w:rFonts w:ascii="Times New Roman" w:hAnsi="Times New Roman"/>
          <w:b/>
          <w:color w:val="000000"/>
          <w:sz w:val="28"/>
        </w:rPr>
        <w:t>2. Estado del Arte</w:t>
      </w:r>
    </w:p>
    <w:p>
      <w:pPr>
        <w:spacing w:before="0" w:after="120" w:line="360" w:lineRule="exact"/>
        <w:jc w:val="both"/>
      </w:pPr>
      <w:r>
        <w:rPr>
          <w:rFonts w:ascii="Times New Roman" w:hAnsi="Times New Roman"/>
          <w:b w:val="0"/>
          <w:i w:val="0"/>
          <w:sz w:val="24"/>
        </w:rPr>
        <w:t>El modelado de la Probabilidad de Default (PD) tiene una trayectoria extensa en la gestión del riesgo financiero. Tradicionalmente, las entidades bancarias han utilizado modelos de regresión logística para estimar la probabilidad de incumplimiento, debido a su interpretabilidad, estabilidad y cumplimiento con los requerimientos de explicabilidad establecidos por los supervisores.</w:t>
      </w:r>
    </w:p>
    <w:p>
      <w:pPr>
        <w:spacing w:before="0" w:after="120" w:line="360" w:lineRule="exact"/>
        <w:jc w:val="both"/>
      </w:pPr>
      <w:r>
        <w:rPr>
          <w:rFonts w:ascii="Times New Roman" w:hAnsi="Times New Roman"/>
          <w:b w:val="0"/>
          <w:i w:val="0"/>
          <w:sz w:val="24"/>
        </w:rPr>
        <w:t>En el marco de Basilea II y III, las PD se calibraban a valores Through-The-Cycle (TTC), enfocados en la estabilidad a largo plazo. Sin embargo, IFRS 9 introduce un cambio clave: exige una PD Point-In-Time (PIT), sensible al ciclo económico y capaz de proyectarse a horizontes de 12 meses y a toda la vida del crédito (Lifetime PD). Este cambio metodológico ha impulsado una nueva generación de modelos, donde las técnicas de machine learning se incorporan para mejorar la capacidad predictiva y la segmentación del riesgo.</w:t>
      </w:r>
    </w:p>
    <w:p>
      <w:pPr>
        <w:spacing w:before="0" w:after="120" w:line="360" w:lineRule="exact"/>
        <w:jc w:val="both"/>
      </w:pPr>
      <w:r>
        <w:rPr>
          <w:rFonts w:ascii="Times New Roman" w:hAnsi="Times New Roman"/>
          <w:b w:val="0"/>
          <w:i w:val="0"/>
          <w:sz w:val="24"/>
        </w:rPr>
        <w:t>Entre los avances más relevantes se encuentran los modelos Gradient Boosting Machines (XGBoost, LightGBM), Random Forests y enfoques basados en ensembles híbridos, los cuales han demostrado mayor capacidad para capturar no linealidades y efectos de interacción entre variables. No obstante, los organismos reguladores insisten en la necesidad de explicabilidad y gobernanza del modelo, motivo por el cual los modelos de caja negra deben complementarse con herramientas de interpretación como SHAP values o LIME.</w:t>
      </w:r>
    </w:p>
    <w:p>
      <w:pPr>
        <w:spacing w:before="0" w:after="120" w:line="360" w:lineRule="exact"/>
        <w:jc w:val="both"/>
      </w:pPr>
      <w:r>
        <w:rPr>
          <w:rFonts w:ascii="Times New Roman" w:hAnsi="Times New Roman"/>
          <w:b w:val="0"/>
          <w:i w:val="0"/>
          <w:sz w:val="24"/>
        </w:rPr>
        <w:t>Estudios recientes han utilizado los datasets de Freddie Mac y Fannie Mae para modelar el riesgo hipotecario y estimar las tasas de incumplimiento bajo distintos contextos macroeconómicos (Ghent &amp; Kudlyak, 2011; Elul et al., 2010). El presente trabajo se diferencia al combinar el enfoque regulatorio IFRS 9 con una implementación de machine learning reproducible y explicable, documentando cada etapa del proceso.</w:t>
      </w:r>
    </w:p>
    <w:p>
      <w:r>
        <w:br w:type="page"/>
      </w:r>
    </w:p>
    <w:p>
      <w:pPr>
        <w:pStyle w:val="Heading1"/>
        <w:jc w:val="left"/>
      </w:pPr>
      <w:r>
        <w:rPr>
          <w:rFonts w:ascii="Times New Roman" w:hAnsi="Times New Roman"/>
          <w:b/>
          <w:color w:val="000000"/>
          <w:sz w:val="28"/>
        </w:rPr>
        <w:t>3. Marco Teórico: IFRS 9 y Expected Credit Loss</w:t>
      </w:r>
    </w:p>
    <w:p>
      <w:pPr>
        <w:pStyle w:val="Heading2"/>
        <w:jc w:val="left"/>
      </w:pPr>
      <w:r>
        <w:rPr>
          <w:rFonts w:ascii="Times New Roman" w:hAnsi="Times New Roman"/>
          <w:b/>
          <w:color w:val="000000"/>
          <w:sz w:val="26"/>
        </w:rPr>
        <w:t>3.1 Expected Credit Loss (ECL)</w:t>
      </w:r>
    </w:p>
    <w:p>
      <w:pPr>
        <w:spacing w:before="0" w:after="120" w:line="360" w:lineRule="exact"/>
        <w:jc w:val="both"/>
      </w:pPr>
      <w:r>
        <w:rPr>
          <w:rFonts w:ascii="Times New Roman" w:hAnsi="Times New Roman"/>
          <w:b w:val="0"/>
          <w:i w:val="0"/>
          <w:sz w:val="24"/>
        </w:rPr>
        <w:t>El modelo ECL bajo IFRS 9 requiere que la pérdida crediticia esperada se calcule como:</w:t>
      </w:r>
    </w:p>
    <w:p>
      <w:pPr>
        <w:spacing w:before="80" w:after="80"/>
        <w:ind w:left="567"/>
        <w:shd w:val="clear" w:color="auto" w:fill="F2F2F2"/>
      </w:pPr>
      <w:r>
        <w:rPr>
          <w:rFonts w:ascii="Courier New" w:hAnsi="Courier New"/>
          <w:sz w:val="18"/>
        </w:rPr>
        <w:t>ECL = PD × LGD × EAD × (1 / (1 + r))^t</w:t>
      </w:r>
    </w:p>
    <w:p>
      <w:pPr>
        <w:spacing w:before="0" w:after="120" w:line="360" w:lineRule="exact"/>
        <w:jc w:val="both"/>
      </w:pPr>
      <w:r>
        <w:rPr>
          <w:rFonts w:ascii="Times New Roman" w:hAnsi="Times New Roman"/>
          <w:b w:val="0"/>
          <w:i w:val="0"/>
          <w:sz w:val="24"/>
        </w:rPr>
        <w:t>Donde PD es la Probabilidad de Default, LGD la Pérdida Dada el Default, EAD la Exposición al Default, r la tasa de descuento y t el horizonte temporal. La presente tesis se enfoca en la estimación de la PD.</w:t>
      </w:r>
    </w:p>
    <w:p>
      <w:pPr>
        <w:pStyle w:val="Heading2"/>
        <w:jc w:val="left"/>
      </w:pPr>
      <w:r>
        <w:rPr>
          <w:rFonts w:ascii="Times New Roman" w:hAnsi="Times New Roman"/>
          <w:b/>
          <w:color w:val="000000"/>
          <w:sz w:val="26"/>
        </w:rPr>
        <w:t>3.2 Clasificación de Stages IFRS 9</w:t>
      </w:r>
    </w:p>
    <w:p>
      <w:pPr>
        <w:spacing w:before="0" w:after="120" w:line="360" w:lineRule="exact"/>
        <w:jc w:val="both"/>
      </w:pPr>
      <w:r>
        <w:rPr>
          <w:rFonts w:ascii="Times New Roman" w:hAnsi="Times New Roman"/>
          <w:b w:val="0"/>
          <w:i w:val="0"/>
          <w:sz w:val="24"/>
        </w:rPr>
        <w:t>IFRS 9 clasifica los instrumentos financieros en tres etapas (stages) según el nivel de deterioro del crédito:</w:t>
      </w:r>
    </w:p>
    <w:p>
      <w:pPr>
        <w:pStyle w:val="ListBullet"/>
      </w:pPr>
      <w:r>
        <w:rPr>
          <w:rFonts w:ascii="Times New Roman" w:hAnsi="Times New Roman"/>
          <w:b/>
          <w:i w:val="0"/>
          <w:sz w:val="22"/>
        </w:rPr>
        <w:t xml:space="preserve">Stage 1: </w:t>
      </w:r>
      <w:r>
        <w:rPr>
          <w:rFonts w:ascii="Times New Roman" w:hAnsi="Times New Roman"/>
          <w:b w:val="0"/>
          <w:i w:val="0"/>
          <w:sz w:val="22"/>
        </w:rPr>
        <w:t>Sin incremento significativo del riesgo de crédito (SICR). Se reconoce ECL a 12 meses. DPD = 0 (corriente).</w:t>
      </w:r>
    </w:p>
    <w:p>
      <w:pPr>
        <w:pStyle w:val="ListBullet"/>
      </w:pPr>
      <w:r>
        <w:rPr>
          <w:rFonts w:ascii="Times New Roman" w:hAnsi="Times New Roman"/>
          <w:b/>
          <w:i w:val="0"/>
          <w:sz w:val="22"/>
        </w:rPr>
        <w:t xml:space="preserve">Stage 2: </w:t>
      </w:r>
      <w:r>
        <w:rPr>
          <w:rFonts w:ascii="Times New Roman" w:hAnsi="Times New Roman"/>
          <w:b w:val="0"/>
          <w:i w:val="0"/>
          <w:sz w:val="22"/>
        </w:rPr>
        <w:t>Incremento significativo del riesgo de crédito. Se reconoce Lifetime ECL. DPD: 30-89 días.</w:t>
      </w:r>
    </w:p>
    <w:p>
      <w:pPr>
        <w:pStyle w:val="ListBullet"/>
      </w:pPr>
      <w:r>
        <w:rPr>
          <w:rFonts w:ascii="Times New Roman" w:hAnsi="Times New Roman"/>
          <w:b/>
          <w:i w:val="0"/>
          <w:sz w:val="22"/>
        </w:rPr>
        <w:t xml:space="preserve">Stage 3: </w:t>
      </w:r>
      <w:r>
        <w:rPr>
          <w:rFonts w:ascii="Times New Roman" w:hAnsi="Times New Roman"/>
          <w:b w:val="0"/>
          <w:i w:val="0"/>
          <w:sz w:val="22"/>
        </w:rPr>
        <w:t>Activo crediticio deteriorado (en default). Se reconoce Lifetime ECL. DPD ≥ 90 días o evento de pérdida.</w:t>
      </w:r>
    </w:p>
    <w:p>
      <w:pPr>
        <w:pStyle w:val="Heading2"/>
        <w:jc w:val="left"/>
      </w:pPr>
      <w:r>
        <w:rPr>
          <w:rFonts w:ascii="Times New Roman" w:hAnsi="Times New Roman"/>
          <w:b/>
          <w:color w:val="000000"/>
          <w:sz w:val="26"/>
        </w:rPr>
        <w:t>3.3 Definición de Default Adoptada</w:t>
      </w:r>
    </w:p>
    <w:p>
      <w:pPr>
        <w:spacing w:before="0" w:after="120" w:line="360" w:lineRule="exact"/>
        <w:jc w:val="both"/>
      </w:pPr>
      <w:r>
        <w:rPr>
          <w:rFonts w:ascii="Times New Roman" w:hAnsi="Times New Roman"/>
          <w:b w:val="0"/>
          <w:i w:val="0"/>
          <w:sz w:val="24"/>
        </w:rPr>
        <w:t>En este trabajo se adopta la definición de default conforme al estándar IFRS 9 / Basilea. Un préstamo se considera en default en el período t si se cumple alguna de las siguientes condiciones:</w:t>
      </w:r>
    </w:p>
    <w:p>
      <w:pPr>
        <w:spacing w:before="80" w:after="80"/>
        <w:ind w:left="567"/>
        <w:shd w:val="clear" w:color="auto" w:fill="F2F2F2"/>
      </w:pPr>
      <w:r>
        <w:rPr>
          <w:rFonts w:ascii="Courier New" w:hAnsi="Courier New"/>
          <w:sz w:val="18"/>
        </w:rPr>
        <w:t>Default = (DPD ≥ 90 días)  OR  (Zero Balance Code ∈ {02, 03, 09})</w:t>
        <w:br/>
        <w:br/>
        <w:t>Donde:</w:t>
        <w:br/>
        <w:t xml:space="preserve">  DPD = current_loan_delinquency_status × 30 días</w:t>
        <w:br/>
        <w:t xml:space="preserve">  ZBC 02 = Third Party Sale (venta a terceros)</w:t>
        <w:br/>
        <w:t xml:space="preserve">  ZBC 03 = Short Sale o Charge-Off</w:t>
        <w:br/>
        <w:t xml:space="preserve">  ZBC 09 = REO Disposition (ejecución hipotecaria)</w:t>
        <w:br/>
      </w:r>
    </w:p>
    <w:p>
      <w:r>
        <w:br w:type="page"/>
      </w:r>
    </w:p>
    <w:p>
      <w:pPr>
        <w:pStyle w:val="Heading1"/>
        <w:jc w:val="left"/>
      </w:pPr>
      <w:r>
        <w:rPr>
          <w:rFonts w:ascii="Times New Roman" w:hAnsi="Times New Roman"/>
          <w:b/>
          <w:color w:val="000000"/>
          <w:sz w:val="28"/>
        </w:rPr>
        <w:t>4. Descripción del Dataset y Análisis Exploratorio</w:t>
      </w:r>
    </w:p>
    <w:p>
      <w:pPr>
        <w:pStyle w:val="Heading2"/>
        <w:jc w:val="left"/>
      </w:pPr>
      <w:r>
        <w:rPr>
          <w:rFonts w:ascii="Times New Roman" w:hAnsi="Times New Roman"/>
          <w:b/>
          <w:color w:val="000000"/>
          <w:sz w:val="26"/>
        </w:rPr>
        <w:t>4.1 Freddie Mac Single-Family Loan-Level Dataset</w:t>
      </w:r>
    </w:p>
    <w:p>
      <w:pPr>
        <w:spacing w:before="0" w:after="120" w:line="360" w:lineRule="exact"/>
        <w:jc w:val="both"/>
      </w:pPr>
      <w:r>
        <w:rPr>
          <w:rFonts w:ascii="Times New Roman" w:hAnsi="Times New Roman"/>
          <w:b w:val="0"/>
          <w:i w:val="0"/>
          <w:sz w:val="24"/>
        </w:rPr>
        <w:t>Se utiliza el Freddie Mac Single-Family Loan-Level Dataset (Sample), una muestra aleatoria de 50.000 préstamos por año de originación, provista públicamente por Freddie Mac. El dataset contiene dos archivos por año:</w:t>
      </w:r>
    </w:p>
    <w:p>
      <w:pPr>
        <w:pStyle w:val="ListBullet"/>
      </w:pPr>
      <w:r>
        <w:rPr>
          <w:rFonts w:ascii="Times New Roman" w:hAnsi="Times New Roman"/>
          <w:b w:val="0"/>
          <w:i w:val="0"/>
          <w:sz w:val="22"/>
        </w:rPr>
        <w:t>sample_orig_YYYY.txt: datos de originación del préstamo (32 variables).</w:t>
      </w:r>
    </w:p>
    <w:p>
      <w:pPr>
        <w:pStyle w:val="ListBullet"/>
      </w:pPr>
      <w:r>
        <w:rPr>
          <w:rFonts w:ascii="Times New Roman" w:hAnsi="Times New Roman"/>
          <w:b w:val="0"/>
          <w:i w:val="0"/>
          <w:sz w:val="22"/>
        </w:rPr>
        <w:t>sample_svcg_YYYY.txt: datos de performance mensual (32 variables).</w:t>
      </w:r>
    </w:p>
    <w:p>
      <w:pPr>
        <w:pStyle w:val="Heading2"/>
        <w:jc w:val="left"/>
      </w:pPr>
      <w:r>
        <w:rPr>
          <w:rFonts w:ascii="Times New Roman" w:hAnsi="Times New Roman"/>
          <w:b/>
          <w:color w:val="000000"/>
          <w:sz w:val="26"/>
        </w:rPr>
        <w:t>4.2 Estadísticas Descriptivas – Originación</w:t>
      </w:r>
    </w:p>
    <w:p>
      <w:pPr>
        <w:spacing w:before="0" w:after="120" w:line="360" w:lineRule="exact"/>
        <w:jc w:val="both"/>
      </w:pPr>
      <w:r>
        <w:rPr>
          <w:rFonts w:ascii="Times New Roman" w:hAnsi="Times New Roman"/>
          <w:b w:val="0"/>
          <w:i w:val="0"/>
          <w:sz w:val="24"/>
        </w:rPr>
        <w:t>El dataset de originación contiene 400,000 préstamos únicos, con primer pago entre 2016-02-01 y 2025-04-01. A continuación se presentan las estadísticas descriptivas de las principales variables cuantitativas:</w:t>
      </w:r>
    </w:p>
    <w:p>
      <w:pPr>
        <w:jc w:val="center"/>
      </w:pPr>
      <w:r>
        <w:rPr>
          <w:rFonts w:ascii="Times New Roman" w:hAnsi="Times New Roman"/>
          <w:b w:val="0"/>
          <w:i/>
          <w:sz w:val="20"/>
        </w:rPr>
        <w:t>Tabla 1. Estadísticas descriptivas – variables de originación</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Pr>
                <w:rFonts w:ascii="Times New Roman" w:hAnsi="Times New Roman"/>
                <w:b/>
                <w:color w:val="FFFFFF"/>
                <w:sz w:val="18"/>
              </w:rPr>
              <w:t>count</w:t>
            </w:r>
          </w:p>
        </w:tc>
        <w:tc>
          <w:tcPr>
            <w:tcW w:type="dxa" w:w="1140"/>
            <w:shd w:val="clear" w:color="auto" w:fill="1F4E79"/>
          </w:tcPr>
          <w:p>
            <w:r>
              <w:rPr>
                <w:rFonts w:ascii="Times New Roman" w:hAnsi="Times New Roman"/>
                <w:b/>
                <w:color w:val="FFFFFF"/>
                <w:sz w:val="18"/>
              </w:rPr>
              <w:t>mean</w:t>
            </w:r>
          </w:p>
        </w:tc>
        <w:tc>
          <w:tcPr>
            <w:tcW w:type="dxa" w:w="1140"/>
            <w:shd w:val="clear" w:color="auto" w:fill="1F4E79"/>
          </w:tcPr>
          <w:p>
            <w:r>
              <w:rPr>
                <w:rFonts w:ascii="Times New Roman" w:hAnsi="Times New Roman"/>
                <w:b/>
                <w:color w:val="FFFFFF"/>
                <w:sz w:val="18"/>
              </w:rPr>
              <w:t>std</w:t>
            </w:r>
          </w:p>
        </w:tc>
        <w:tc>
          <w:tcPr>
            <w:tcW w:type="dxa" w:w="1140"/>
            <w:shd w:val="clear" w:color="auto" w:fill="1F4E79"/>
          </w:tcPr>
          <w:p>
            <w:r>
              <w:rPr>
                <w:rFonts w:ascii="Times New Roman" w:hAnsi="Times New Roman"/>
                <w:b/>
                <w:color w:val="FFFFFF"/>
                <w:sz w:val="18"/>
              </w:rPr>
              <w:t>min</w:t>
            </w:r>
          </w:p>
        </w:tc>
        <w:tc>
          <w:tcPr>
            <w:tcW w:type="dxa" w:w="1140"/>
            <w:shd w:val="clear" w:color="auto" w:fill="1F4E79"/>
          </w:tcPr>
          <w:p>
            <w:r>
              <w:rPr>
                <w:rFonts w:ascii="Times New Roman" w:hAnsi="Times New Roman"/>
                <w:b/>
                <w:color w:val="FFFFFF"/>
                <w:sz w:val="18"/>
              </w:rPr>
              <w:t>25%</w:t>
            </w:r>
          </w:p>
        </w:tc>
        <w:tc>
          <w:tcPr>
            <w:tcW w:type="dxa" w:w="1140"/>
            <w:shd w:val="clear" w:color="auto" w:fill="1F4E79"/>
          </w:tcPr>
          <w:p>
            <w:r>
              <w:rPr>
                <w:rFonts w:ascii="Times New Roman" w:hAnsi="Times New Roman"/>
                <w:b/>
                <w:color w:val="FFFFFF"/>
                <w:sz w:val="18"/>
              </w:rPr>
              <w:t>50%</w:t>
            </w:r>
          </w:p>
        </w:tc>
        <w:tc>
          <w:tcPr>
            <w:tcW w:type="dxa" w:w="1140"/>
            <w:shd w:val="clear" w:color="auto" w:fill="1F4E79"/>
          </w:tcPr>
          <w:p>
            <w:r>
              <w:rPr>
                <w:rFonts w:ascii="Times New Roman" w:hAnsi="Times New Roman"/>
                <w:b/>
                <w:color w:val="FFFFFF"/>
                <w:sz w:val="18"/>
              </w:rPr>
              <w:t>75%</w:t>
            </w:r>
          </w:p>
        </w:tc>
        <w:tc>
          <w:tcPr>
            <w:tcW w:type="dxa" w:w="1140"/>
            <w:shd w:val="clear" w:color="auto" w:fill="1F4E79"/>
          </w:tcPr>
          <w:p>
            <w:r>
              <w:rPr>
                <w:rFonts w:ascii="Times New Roman" w:hAnsi="Times New Roman"/>
                <w:b/>
                <w:color w:val="FFFFFF"/>
                <w:sz w:val="18"/>
              </w:rPr>
              <w:t>max</w:t>
            </w:r>
          </w:p>
        </w:tc>
      </w:tr>
      <w:tr>
        <w:tc>
          <w:tcPr>
            <w:tcW w:type="dxa" w:w="1140"/>
            <w:shd w:val="clear" w:color="auto" w:fill="FFFFFF"/>
          </w:tcPr>
          <w:p>
            <w:r>
              <w:rPr>
                <w:rFonts w:ascii="Times New Roman" w:hAnsi="Times New Roman"/>
                <w:sz w:val="18"/>
              </w:rPr>
              <w:t>399901.0000</w:t>
            </w:r>
          </w:p>
        </w:tc>
        <w:tc>
          <w:tcPr>
            <w:tcW w:type="dxa" w:w="1140"/>
            <w:shd w:val="clear" w:color="auto" w:fill="FFFFFF"/>
          </w:tcPr>
          <w:p>
            <w:r>
              <w:rPr>
                <w:rFonts w:ascii="Times New Roman" w:hAnsi="Times New Roman"/>
                <w:sz w:val="18"/>
              </w:rPr>
              <w:t>749.2100</w:t>
            </w:r>
          </w:p>
        </w:tc>
        <w:tc>
          <w:tcPr>
            <w:tcW w:type="dxa" w:w="1140"/>
            <w:shd w:val="clear" w:color="auto" w:fill="FFFFFF"/>
          </w:tcPr>
          <w:p>
            <w:r>
              <w:rPr>
                <w:rFonts w:ascii="Times New Roman" w:hAnsi="Times New Roman"/>
                <w:sz w:val="18"/>
              </w:rPr>
              <w:t>45.4000</w:t>
            </w:r>
          </w:p>
        </w:tc>
        <w:tc>
          <w:tcPr>
            <w:tcW w:type="dxa" w:w="1140"/>
            <w:shd w:val="clear" w:color="auto" w:fill="FFFFFF"/>
          </w:tcPr>
          <w:p>
            <w:r>
              <w:rPr>
                <w:rFonts w:ascii="Times New Roman" w:hAnsi="Times New Roman"/>
                <w:sz w:val="18"/>
              </w:rPr>
              <w:t>300.0000</w:t>
            </w:r>
          </w:p>
        </w:tc>
        <w:tc>
          <w:tcPr>
            <w:tcW w:type="dxa" w:w="1140"/>
            <w:shd w:val="clear" w:color="auto" w:fill="FFFFFF"/>
          </w:tcPr>
          <w:p>
            <w:r>
              <w:rPr>
                <w:rFonts w:ascii="Times New Roman" w:hAnsi="Times New Roman"/>
                <w:sz w:val="18"/>
              </w:rPr>
              <w:t>718.0000</w:t>
            </w:r>
          </w:p>
        </w:tc>
        <w:tc>
          <w:tcPr>
            <w:tcW w:type="dxa" w:w="1140"/>
            <w:shd w:val="clear" w:color="auto" w:fill="FFFFFF"/>
          </w:tcPr>
          <w:p>
            <w:r>
              <w:rPr>
                <w:rFonts w:ascii="Times New Roman" w:hAnsi="Times New Roman"/>
                <w:sz w:val="18"/>
              </w:rPr>
              <w:t>758.0000</w:t>
            </w:r>
          </w:p>
        </w:tc>
        <w:tc>
          <w:tcPr>
            <w:tcW w:type="dxa" w:w="1140"/>
            <w:shd w:val="clear" w:color="auto" w:fill="FFFFFF"/>
          </w:tcPr>
          <w:p>
            <w:r>
              <w:rPr>
                <w:rFonts w:ascii="Times New Roman" w:hAnsi="Times New Roman"/>
                <w:sz w:val="18"/>
              </w:rPr>
              <w:t>786.0000</w:t>
            </w:r>
          </w:p>
        </w:tc>
        <w:tc>
          <w:tcPr>
            <w:tcW w:type="dxa" w:w="1140"/>
            <w:shd w:val="clear" w:color="auto" w:fill="FFFFFF"/>
          </w:tcPr>
          <w:p>
            <w:r>
              <w:rPr>
                <w:rFonts w:ascii="Times New Roman" w:hAnsi="Times New Roman"/>
                <w:sz w:val="18"/>
              </w:rPr>
              <w:t>835.0000</w:t>
            </w:r>
          </w:p>
        </w:tc>
      </w:tr>
      <w:tr>
        <w:tc>
          <w:tcPr>
            <w:tcW w:type="dxa" w:w="1140"/>
            <w:shd w:val="clear" w:color="auto" w:fill="E8F0FE"/>
          </w:tcPr>
          <w:p>
            <w:r>
              <w:rPr>
                <w:rFonts w:ascii="Times New Roman" w:hAnsi="Times New Roman"/>
                <w:sz w:val="18"/>
              </w:rPr>
              <w:t>399999.0000</w:t>
            </w:r>
          </w:p>
        </w:tc>
        <w:tc>
          <w:tcPr>
            <w:tcW w:type="dxa" w:w="1140"/>
            <w:shd w:val="clear" w:color="auto" w:fill="E8F0FE"/>
          </w:tcPr>
          <w:p>
            <w:r>
              <w:rPr>
                <w:rFonts w:ascii="Times New Roman" w:hAnsi="Times New Roman"/>
                <w:sz w:val="18"/>
              </w:rPr>
              <w:t>74.3700</w:t>
            </w:r>
          </w:p>
        </w:tc>
        <w:tc>
          <w:tcPr>
            <w:tcW w:type="dxa" w:w="1140"/>
            <w:shd w:val="clear" w:color="auto" w:fill="E8F0FE"/>
          </w:tcPr>
          <w:p>
            <w:r>
              <w:rPr>
                <w:rFonts w:ascii="Times New Roman" w:hAnsi="Times New Roman"/>
                <w:sz w:val="18"/>
              </w:rPr>
              <w:t>17.9400</w:t>
            </w:r>
          </w:p>
        </w:tc>
        <w:tc>
          <w:tcPr>
            <w:tcW w:type="dxa" w:w="1140"/>
            <w:shd w:val="clear" w:color="auto" w:fill="E8F0FE"/>
          </w:tcPr>
          <w:p>
            <w:r>
              <w:rPr>
                <w:rFonts w:ascii="Times New Roman" w:hAnsi="Times New Roman"/>
                <w:sz w:val="18"/>
              </w:rPr>
              <w:t>3.0000</w:t>
            </w:r>
          </w:p>
        </w:tc>
        <w:tc>
          <w:tcPr>
            <w:tcW w:type="dxa" w:w="1140"/>
            <w:shd w:val="clear" w:color="auto" w:fill="E8F0FE"/>
          </w:tcPr>
          <w:p>
            <w:r>
              <w:rPr>
                <w:rFonts w:ascii="Times New Roman" w:hAnsi="Times New Roman"/>
                <w:sz w:val="18"/>
              </w:rPr>
              <w:t>65.0000</w:t>
            </w:r>
          </w:p>
        </w:tc>
        <w:tc>
          <w:tcPr>
            <w:tcW w:type="dxa" w:w="1140"/>
            <w:shd w:val="clear" w:color="auto" w:fill="E8F0FE"/>
          </w:tcPr>
          <w:p>
            <w:r>
              <w:rPr>
                <w:rFonts w:ascii="Times New Roman" w:hAnsi="Times New Roman"/>
                <w:sz w:val="18"/>
              </w:rPr>
              <w:t>80.0000</w:t>
            </w:r>
          </w:p>
        </w:tc>
        <w:tc>
          <w:tcPr>
            <w:tcW w:type="dxa" w:w="1140"/>
            <w:shd w:val="clear" w:color="auto" w:fill="E8F0FE"/>
          </w:tcPr>
          <w:p>
            <w:r>
              <w:rPr>
                <w:rFonts w:ascii="Times New Roman" w:hAnsi="Times New Roman"/>
                <w:sz w:val="18"/>
              </w:rPr>
              <w:t>90.0000</w:t>
            </w:r>
          </w:p>
        </w:tc>
        <w:tc>
          <w:tcPr>
            <w:tcW w:type="dxa" w:w="1140"/>
            <w:shd w:val="clear" w:color="auto" w:fill="E8F0FE"/>
          </w:tcPr>
          <w:p>
            <w:r>
              <w:rPr>
                <w:rFonts w:ascii="Times New Roman" w:hAnsi="Times New Roman"/>
                <w:sz w:val="18"/>
              </w:rPr>
              <w:t>336.0000</w:t>
            </w:r>
          </w:p>
        </w:tc>
      </w:tr>
      <w:tr>
        <w:tc>
          <w:tcPr>
            <w:tcW w:type="dxa" w:w="1140"/>
            <w:shd w:val="clear" w:color="auto" w:fill="FFFFFF"/>
          </w:tcPr>
          <w:p>
            <w:r>
              <w:rPr>
                <w:rFonts w:ascii="Times New Roman" w:hAnsi="Times New Roman"/>
                <w:sz w:val="18"/>
              </w:rPr>
              <w:t>395099.0000</w:t>
            </w:r>
          </w:p>
        </w:tc>
        <w:tc>
          <w:tcPr>
            <w:tcW w:type="dxa" w:w="1140"/>
            <w:shd w:val="clear" w:color="auto" w:fill="FFFFFF"/>
          </w:tcPr>
          <w:p>
            <w:r>
              <w:rPr>
                <w:rFonts w:ascii="Times New Roman" w:hAnsi="Times New Roman"/>
                <w:sz w:val="18"/>
              </w:rPr>
              <w:t>35.8300</w:t>
            </w:r>
          </w:p>
        </w:tc>
        <w:tc>
          <w:tcPr>
            <w:tcW w:type="dxa" w:w="1140"/>
            <w:shd w:val="clear" w:color="auto" w:fill="FFFFFF"/>
          </w:tcPr>
          <w:p>
            <w:r>
              <w:rPr>
                <w:rFonts w:ascii="Times New Roman" w:hAnsi="Times New Roman"/>
                <w:sz w:val="18"/>
              </w:rPr>
              <w:t>9.5200</w:t>
            </w:r>
          </w:p>
        </w:tc>
        <w:tc>
          <w:tcPr>
            <w:tcW w:type="dxa" w:w="1140"/>
            <w:shd w:val="clear" w:color="auto" w:fill="FFFFFF"/>
          </w:tcPr>
          <w:p>
            <w:r>
              <w:rPr>
                <w:rFonts w:ascii="Times New Roman" w:hAnsi="Times New Roman"/>
                <w:sz w:val="18"/>
              </w:rPr>
              <w:t>1.0000</w:t>
            </w:r>
          </w:p>
        </w:tc>
        <w:tc>
          <w:tcPr>
            <w:tcW w:type="dxa" w:w="1140"/>
            <w:shd w:val="clear" w:color="auto" w:fill="FFFFFF"/>
          </w:tcPr>
          <w:p>
            <w:r>
              <w:rPr>
                <w:rFonts w:ascii="Times New Roman" w:hAnsi="Times New Roman"/>
                <w:sz w:val="18"/>
              </w:rPr>
              <w:t>29.0000</w:t>
            </w:r>
          </w:p>
        </w:tc>
        <w:tc>
          <w:tcPr>
            <w:tcW w:type="dxa" w:w="1140"/>
            <w:shd w:val="clear" w:color="auto" w:fill="FFFFFF"/>
          </w:tcPr>
          <w:p>
            <w:r>
              <w:rPr>
                <w:rFonts w:ascii="Times New Roman" w:hAnsi="Times New Roman"/>
                <w:sz w:val="18"/>
              </w:rPr>
              <w:t>37.0000</w:t>
            </w:r>
          </w:p>
        </w:tc>
        <w:tc>
          <w:tcPr>
            <w:tcW w:type="dxa" w:w="1140"/>
            <w:shd w:val="clear" w:color="auto" w:fill="FFFFFF"/>
          </w:tcPr>
          <w:p>
            <w:r>
              <w:rPr>
                <w:rFonts w:ascii="Times New Roman" w:hAnsi="Times New Roman"/>
                <w:sz w:val="18"/>
              </w:rPr>
              <w:t>44.0000</w:t>
            </w:r>
          </w:p>
        </w:tc>
        <w:tc>
          <w:tcPr>
            <w:tcW w:type="dxa" w:w="1140"/>
            <w:shd w:val="clear" w:color="auto" w:fill="FFFFFF"/>
          </w:tcPr>
          <w:p>
            <w:r>
              <w:rPr>
                <w:rFonts w:ascii="Times New Roman" w:hAnsi="Times New Roman"/>
                <w:sz w:val="18"/>
              </w:rPr>
              <w:t>63.0000</w:t>
            </w:r>
          </w:p>
        </w:tc>
      </w:tr>
      <w:tr>
        <w:tc>
          <w:tcPr>
            <w:tcW w:type="dxa" w:w="1140"/>
            <w:shd w:val="clear" w:color="auto" w:fill="E8F0FE"/>
          </w:tcPr>
          <w:p>
            <w:r>
              <w:rPr>
                <w:rFonts w:ascii="Times New Roman" w:hAnsi="Times New Roman"/>
                <w:sz w:val="18"/>
              </w:rPr>
              <w:t>400000.0000</w:t>
            </w:r>
          </w:p>
        </w:tc>
        <w:tc>
          <w:tcPr>
            <w:tcW w:type="dxa" w:w="1140"/>
            <w:shd w:val="clear" w:color="auto" w:fill="E8F0FE"/>
          </w:tcPr>
          <w:p>
            <w:r>
              <w:rPr>
                <w:rFonts w:ascii="Times New Roman" w:hAnsi="Times New Roman"/>
                <w:sz w:val="18"/>
              </w:rPr>
              <w:t>273294.5700</w:t>
            </w:r>
          </w:p>
        </w:tc>
        <w:tc>
          <w:tcPr>
            <w:tcW w:type="dxa" w:w="1140"/>
            <w:shd w:val="clear" w:color="auto" w:fill="E8F0FE"/>
          </w:tcPr>
          <w:p>
            <w:r>
              <w:rPr>
                <w:rFonts w:ascii="Times New Roman" w:hAnsi="Times New Roman"/>
                <w:sz w:val="18"/>
              </w:rPr>
              <w:t>151536.8600</w:t>
            </w:r>
          </w:p>
        </w:tc>
        <w:tc>
          <w:tcPr>
            <w:tcW w:type="dxa" w:w="1140"/>
            <w:shd w:val="clear" w:color="auto" w:fill="E8F0FE"/>
          </w:tcPr>
          <w:p>
            <w:r>
              <w:rPr>
                <w:rFonts w:ascii="Times New Roman" w:hAnsi="Times New Roman"/>
                <w:sz w:val="18"/>
              </w:rPr>
              <w:t>10000.0000</w:t>
            </w:r>
          </w:p>
        </w:tc>
        <w:tc>
          <w:tcPr>
            <w:tcW w:type="dxa" w:w="1140"/>
            <w:shd w:val="clear" w:color="auto" w:fill="E8F0FE"/>
          </w:tcPr>
          <w:p>
            <w:r>
              <w:rPr>
                <w:rFonts w:ascii="Times New Roman" w:hAnsi="Times New Roman"/>
                <w:sz w:val="18"/>
              </w:rPr>
              <w:t>160000.0000</w:t>
            </w:r>
          </w:p>
        </w:tc>
        <w:tc>
          <w:tcPr>
            <w:tcW w:type="dxa" w:w="1140"/>
            <w:shd w:val="clear" w:color="auto" w:fill="E8F0FE"/>
          </w:tcPr>
          <w:p>
            <w:r>
              <w:rPr>
                <w:rFonts w:ascii="Times New Roman" w:hAnsi="Times New Roman"/>
                <w:sz w:val="18"/>
              </w:rPr>
              <w:t>244000.0000</w:t>
            </w:r>
          </w:p>
        </w:tc>
        <w:tc>
          <w:tcPr>
            <w:tcW w:type="dxa" w:w="1140"/>
            <w:shd w:val="clear" w:color="auto" w:fill="E8F0FE"/>
          </w:tcPr>
          <w:p>
            <w:r>
              <w:rPr>
                <w:rFonts w:ascii="Times New Roman" w:hAnsi="Times New Roman"/>
                <w:sz w:val="18"/>
              </w:rPr>
              <w:t>356000.0000</w:t>
            </w:r>
          </w:p>
        </w:tc>
        <w:tc>
          <w:tcPr>
            <w:tcW w:type="dxa" w:w="1140"/>
            <w:shd w:val="clear" w:color="auto" w:fill="E8F0FE"/>
          </w:tcPr>
          <w:p>
            <w:r>
              <w:rPr>
                <w:rFonts w:ascii="Times New Roman" w:hAnsi="Times New Roman"/>
                <w:sz w:val="18"/>
              </w:rPr>
              <w:t>2100000.0000</w:t>
            </w:r>
          </w:p>
        </w:tc>
      </w:tr>
    </w:tbl>
    <w:p/>
    <w:p>
      <w:pPr>
        <w:pStyle w:val="Heading2"/>
        <w:jc w:val="left"/>
      </w:pPr>
      <w:r>
        <w:rPr>
          <w:rFonts w:ascii="Times New Roman" w:hAnsi="Times New Roman"/>
          <w:b/>
          <w:color w:val="000000"/>
          <w:sz w:val="26"/>
        </w:rPr>
        <w:t>4.3 Estadísticas Descriptivas – Performance</w:t>
      </w:r>
    </w:p>
    <w:p>
      <w:pPr>
        <w:spacing w:before="0" w:after="120" w:line="360" w:lineRule="exact"/>
        <w:jc w:val="both"/>
      </w:pPr>
      <w:r>
        <w:rPr>
          <w:rFonts w:ascii="Times New Roman" w:hAnsi="Times New Roman"/>
          <w:b w:val="0"/>
          <w:i w:val="0"/>
          <w:sz w:val="24"/>
        </w:rPr>
        <w:t>El dataset de performance contiene 14,603,212 observaciones mensuales, abarcando el período 2016-02-01 a 2025-03-01. La tasa de observaciones con DPD ≥ 90 días es del 0.8332%. La tasa de default global (DPD ≥ 90 o evento de pérdida) es de 0.83%.</w:t>
      </w:r>
    </w:p>
    <w:p>
      <w:pPr>
        <w:pStyle w:val="Heading2"/>
        <w:jc w:val="left"/>
      </w:pPr>
      <w:r>
        <w:rPr>
          <w:rFonts w:ascii="Times New Roman" w:hAnsi="Times New Roman"/>
          <w:b/>
          <w:color w:val="000000"/>
          <w:sz w:val="26"/>
        </w:rPr>
        <w:t>4.4 Visualizaciones Exploratorias</w:t>
      </w:r>
    </w:p>
    <w:p>
      <w:pPr>
        <w:jc w:val="center"/>
      </w:pPr>
      <w:r>
        <w:drawing>
          <wp:inline xmlns:a="http://schemas.openxmlformats.org/drawingml/2006/main" xmlns:pic="http://schemas.openxmlformats.org/drawingml/2006/picture">
            <wp:extent cx="5040000" cy="2479458"/>
            <wp:docPr id="1" name="Picture 1"/>
            <wp:cNvGraphicFramePr>
              <a:graphicFrameLocks noChangeAspect="1"/>
            </wp:cNvGraphicFramePr>
            <a:graphic>
              <a:graphicData uri="http://schemas.openxmlformats.org/drawingml/2006/picture">
                <pic:pic>
                  <pic:nvPicPr>
                    <pic:cNvPr id="0" name="eda_fico_distribucion.png"/>
                    <pic:cNvPicPr/>
                  </pic:nvPicPr>
                  <pic:blipFill>
                    <a:blip r:embed="rId9"/>
                    <a:stretch>
                      <a:fillRect/>
                    </a:stretch>
                  </pic:blipFill>
                  <pic:spPr>
                    <a:xfrm>
                      <a:off x="0" y="0"/>
                      <a:ext cx="5040000" cy="2479458"/>
                    </a:xfrm>
                    <a:prstGeom prst="rect"/>
                  </pic:spPr>
                </pic:pic>
              </a:graphicData>
            </a:graphic>
          </wp:inline>
        </w:drawing>
      </w:r>
    </w:p>
    <w:p>
      <w:pPr>
        <w:jc w:val="center"/>
      </w:pPr>
      <w:r>
        <w:rPr>
          <w:rFonts w:ascii="Times New Roman" w:hAnsi="Times New Roman"/>
          <w:b w:val="0"/>
          <w:i/>
          <w:sz w:val="20"/>
        </w:rPr>
        <w:t>Figura 1. Distribución del Credit Score (FICO) de originación.</w:t>
      </w:r>
    </w:p>
    <w:p/>
    <w:p>
      <w:pPr>
        <w:jc w:val="center"/>
      </w:pPr>
      <w:r>
        <w:drawing>
          <wp:inline xmlns:a="http://schemas.openxmlformats.org/drawingml/2006/main" xmlns:pic="http://schemas.openxmlformats.org/drawingml/2006/picture">
            <wp:extent cx="5040000" cy="2479458"/>
            <wp:docPr id="2" name="Picture 2"/>
            <wp:cNvGraphicFramePr>
              <a:graphicFrameLocks noChangeAspect="1"/>
            </wp:cNvGraphicFramePr>
            <a:graphic>
              <a:graphicData uri="http://schemas.openxmlformats.org/drawingml/2006/picture">
                <pic:pic>
                  <pic:nvPicPr>
                    <pic:cNvPr id="0" name="eda_upb_distribucion.png"/>
                    <pic:cNvPicPr/>
                  </pic:nvPicPr>
                  <pic:blipFill>
                    <a:blip r:embed="rId10"/>
                    <a:stretch>
                      <a:fillRect/>
                    </a:stretch>
                  </pic:blipFill>
                  <pic:spPr>
                    <a:xfrm>
                      <a:off x="0" y="0"/>
                      <a:ext cx="5040000" cy="2479458"/>
                    </a:xfrm>
                    <a:prstGeom prst="rect"/>
                  </pic:spPr>
                </pic:pic>
              </a:graphicData>
            </a:graphic>
          </wp:inline>
        </w:drawing>
      </w:r>
    </w:p>
    <w:p>
      <w:pPr>
        <w:jc w:val="center"/>
      </w:pPr>
      <w:r>
        <w:rPr>
          <w:rFonts w:ascii="Times New Roman" w:hAnsi="Times New Roman"/>
          <w:b w:val="0"/>
          <w:i/>
          <w:sz w:val="20"/>
        </w:rPr>
        <w:t>Figura 2. Distribución del saldo actual (Current Actual UPB).</w:t>
      </w:r>
    </w:p>
    <w:p/>
    <w:p>
      <w:pPr>
        <w:jc w:val="center"/>
      </w:pPr>
      <w:r>
        <w:drawing>
          <wp:inline xmlns:a="http://schemas.openxmlformats.org/drawingml/2006/main" xmlns:pic="http://schemas.openxmlformats.org/drawingml/2006/picture">
            <wp:extent cx="5040000" cy="2479458"/>
            <wp:docPr id="3" name="Picture 3"/>
            <wp:cNvGraphicFramePr>
              <a:graphicFrameLocks noChangeAspect="1"/>
            </wp:cNvGraphicFramePr>
            <a:graphic>
              <a:graphicData uri="http://schemas.openxmlformats.org/drawingml/2006/picture">
                <pic:pic>
                  <pic:nvPicPr>
                    <pic:cNvPr id="0" name="eda_dpd_distribucion.png"/>
                    <pic:cNvPicPr/>
                  </pic:nvPicPr>
                  <pic:blipFill>
                    <a:blip r:embed="rId11"/>
                    <a:stretch>
                      <a:fillRect/>
                    </a:stretch>
                  </pic:blipFill>
                  <pic:spPr>
                    <a:xfrm>
                      <a:off x="0" y="0"/>
                      <a:ext cx="5040000" cy="2479458"/>
                    </a:xfrm>
                    <a:prstGeom prst="rect"/>
                  </pic:spPr>
                </pic:pic>
              </a:graphicData>
            </a:graphic>
          </wp:inline>
        </w:drawing>
      </w:r>
    </w:p>
    <w:p>
      <w:pPr>
        <w:jc w:val="center"/>
      </w:pPr>
      <w:r>
        <w:rPr>
          <w:rFonts w:ascii="Times New Roman" w:hAnsi="Times New Roman"/>
          <w:b w:val="0"/>
          <w:i/>
          <w:sz w:val="20"/>
        </w:rPr>
        <w:t>Figura 3. Distribución de días en mora (DPD) en el período de performance.</w:t>
      </w:r>
    </w:p>
    <w:p/>
    <w:p>
      <w:r>
        <w:br w:type="page"/>
      </w:r>
    </w:p>
    <w:p>
      <w:pPr>
        <w:jc w:val="center"/>
      </w:pPr>
      <w:r>
        <w:drawing>
          <wp:inline xmlns:a="http://schemas.openxmlformats.org/drawingml/2006/main" xmlns:pic="http://schemas.openxmlformats.org/drawingml/2006/picture">
            <wp:extent cx="5040000" cy="1977205"/>
            <wp:docPr id="4" name="Picture 4"/>
            <wp:cNvGraphicFramePr>
              <a:graphicFrameLocks noChangeAspect="1"/>
            </wp:cNvGraphicFramePr>
            <a:graphic>
              <a:graphicData uri="http://schemas.openxmlformats.org/drawingml/2006/picture">
                <pic:pic>
                  <pic:nvPicPr>
                    <pic:cNvPr id="0" name="eda_default_tiempo.png"/>
                    <pic:cNvPicPr/>
                  </pic:nvPicPr>
                  <pic:blipFill>
                    <a:blip r:embed="rId12"/>
                    <a:stretch>
                      <a:fillRect/>
                    </a:stretch>
                  </pic:blipFill>
                  <pic:spPr>
                    <a:xfrm>
                      <a:off x="0" y="0"/>
                      <a:ext cx="5040000" cy="1977205"/>
                    </a:xfrm>
                    <a:prstGeom prst="rect"/>
                  </pic:spPr>
                </pic:pic>
              </a:graphicData>
            </a:graphic>
          </wp:inline>
        </w:drawing>
      </w:r>
    </w:p>
    <w:p>
      <w:pPr>
        <w:jc w:val="center"/>
      </w:pPr>
      <w:r>
        <w:rPr>
          <w:rFonts w:ascii="Times New Roman" w:hAnsi="Times New Roman"/>
          <w:b w:val="0"/>
          <w:i/>
          <w:sz w:val="20"/>
        </w:rPr>
        <w:t>Figura 4. Tasa de default mensual en el dataset Freddie Mac.</w:t>
      </w:r>
    </w:p>
    <w:p/>
    <w:p>
      <w:pPr>
        <w:jc w:val="center"/>
      </w:pPr>
      <w:r>
        <w:drawing>
          <wp:inline xmlns:a="http://schemas.openxmlformats.org/drawingml/2006/main" xmlns:pic="http://schemas.openxmlformats.org/drawingml/2006/picture">
            <wp:extent cx="5040000" cy="2479458"/>
            <wp:docPr id="5" name="Picture 5"/>
            <wp:cNvGraphicFramePr>
              <a:graphicFrameLocks noChangeAspect="1"/>
            </wp:cNvGraphicFramePr>
            <a:graphic>
              <a:graphicData uri="http://schemas.openxmlformats.org/drawingml/2006/picture">
                <pic:pic>
                  <pic:nvPicPr>
                    <pic:cNvPr id="0" name="eda_default_vintage.png"/>
                    <pic:cNvPicPr/>
                  </pic:nvPicPr>
                  <pic:blipFill>
                    <a:blip r:embed="rId13"/>
                    <a:stretch>
                      <a:fillRect/>
                    </a:stretch>
                  </pic:blipFill>
                  <pic:spPr>
                    <a:xfrm>
                      <a:off x="0" y="0"/>
                      <a:ext cx="5040000" cy="2479458"/>
                    </a:xfrm>
                    <a:prstGeom prst="rect"/>
                  </pic:spPr>
                </pic:pic>
              </a:graphicData>
            </a:graphic>
          </wp:inline>
        </w:drawing>
      </w:r>
    </w:p>
    <w:p>
      <w:pPr>
        <w:jc w:val="center"/>
      </w:pPr>
      <w:r>
        <w:rPr>
          <w:rFonts w:ascii="Times New Roman" w:hAnsi="Times New Roman"/>
          <w:b w:val="0"/>
          <w:i/>
          <w:sz w:val="20"/>
        </w:rPr>
        <w:t>Figura 5. Tasa de default por vintage year (año de originación).</w:t>
      </w:r>
    </w:p>
    <w:p/>
    <w:p>
      <w:pPr>
        <w:jc w:val="center"/>
      </w:pPr>
      <w:r>
        <w:drawing>
          <wp:inline xmlns:a="http://schemas.openxmlformats.org/drawingml/2006/main" xmlns:pic="http://schemas.openxmlformats.org/drawingml/2006/picture">
            <wp:extent cx="5040000" cy="2475191"/>
            <wp:docPr id="6" name="Picture 6"/>
            <wp:cNvGraphicFramePr>
              <a:graphicFrameLocks noChangeAspect="1"/>
            </wp:cNvGraphicFramePr>
            <a:graphic>
              <a:graphicData uri="http://schemas.openxmlformats.org/drawingml/2006/picture">
                <pic:pic>
                  <pic:nvPicPr>
                    <pic:cNvPr id="0" name="eda_ltv_default.png"/>
                    <pic:cNvPicPr/>
                  </pic:nvPicPr>
                  <pic:blipFill>
                    <a:blip r:embed="rId14"/>
                    <a:stretch>
                      <a:fillRect/>
                    </a:stretch>
                  </pic:blipFill>
                  <pic:spPr>
                    <a:xfrm>
                      <a:off x="0" y="0"/>
                      <a:ext cx="5040000" cy="2475191"/>
                    </a:xfrm>
                    <a:prstGeom prst="rect"/>
                  </pic:spPr>
                </pic:pic>
              </a:graphicData>
            </a:graphic>
          </wp:inline>
        </w:drawing>
      </w:r>
    </w:p>
    <w:p>
      <w:pPr>
        <w:jc w:val="center"/>
      </w:pPr>
      <w:r>
        <w:rPr>
          <w:rFonts w:ascii="Times New Roman" w:hAnsi="Times New Roman"/>
          <w:b w:val="0"/>
          <w:i/>
          <w:sz w:val="20"/>
        </w:rPr>
        <w:t>Figura 6. Tasa de default por bucket de LTV original.</w:t>
      </w:r>
    </w:p>
    <w:p/>
    <w:p>
      <w:r>
        <w:br w:type="page"/>
      </w:r>
    </w:p>
    <w:p>
      <w:pPr>
        <w:pStyle w:val="Heading1"/>
        <w:jc w:val="left"/>
      </w:pPr>
      <w:r>
        <w:rPr>
          <w:rFonts w:ascii="Times New Roman" w:hAnsi="Times New Roman"/>
          <w:b/>
          <w:color w:val="000000"/>
          <w:sz w:val="28"/>
        </w:rPr>
        <w:t>5. Metodología y Pipeline de Análisis</w:t>
      </w:r>
    </w:p>
    <w:p>
      <w:pPr>
        <w:spacing w:before="0" w:after="120" w:line="360" w:lineRule="exact"/>
        <w:jc w:val="both"/>
      </w:pPr>
      <w:r>
        <w:rPr>
          <w:rFonts w:ascii="Times New Roman" w:hAnsi="Times New Roman"/>
          <w:b w:val="0"/>
          <w:i w:val="0"/>
          <w:sz w:val="24"/>
        </w:rPr>
        <w:t>El pipeline de análisis fue implementado íntegramente en Python 3, siguiendo una arquitectura modular de siete pasos secuenciales. Cada paso genera archivos intermedios en formato Parquet para garantizar la reproducibilidad:</w:t>
      </w:r>
    </w:p>
    <w:p>
      <w:pPr>
        <w:pStyle w:val="ListNumber"/>
      </w:pPr>
      <w:r>
        <w:rPr>
          <w:rFonts w:ascii="Times New Roman" w:hAnsi="Times New Roman"/>
          <w:b w:val="0"/>
          <w:i w:val="0"/>
          <w:sz w:val="22"/>
        </w:rPr>
        <w:t>Carga y merge de datos (01_carga_datos.py)</w:t>
      </w:r>
    </w:p>
    <w:p>
      <w:pPr>
        <w:pStyle w:val="ListNumber"/>
      </w:pPr>
      <w:r>
        <w:rPr>
          <w:rFonts w:ascii="Times New Roman" w:hAnsi="Times New Roman"/>
          <w:b w:val="0"/>
          <w:i w:val="0"/>
          <w:sz w:val="22"/>
        </w:rPr>
        <w:t>Definición de default IFRS 9 y clasificación de stages (02_definicion_default.py)</w:t>
      </w:r>
    </w:p>
    <w:p>
      <w:pPr>
        <w:pStyle w:val="ListNumber"/>
      </w:pPr>
      <w:r>
        <w:rPr>
          <w:rFonts w:ascii="Times New Roman" w:hAnsi="Times New Roman"/>
          <w:b w:val="0"/>
          <w:i w:val="0"/>
          <w:sz w:val="22"/>
        </w:rPr>
        <w:t>Ingeniería de variables (03_feature_engineering.py)</w:t>
      </w:r>
    </w:p>
    <w:p>
      <w:pPr>
        <w:pStyle w:val="ListNumber"/>
      </w:pPr>
      <w:r>
        <w:rPr>
          <w:rFonts w:ascii="Times New Roman" w:hAnsi="Times New Roman"/>
          <w:b w:val="0"/>
          <w:i w:val="0"/>
          <w:sz w:val="22"/>
        </w:rPr>
        <w:t>Entrenamiento de modelos PD (04_modelado.py)</w:t>
      </w:r>
    </w:p>
    <w:p>
      <w:pPr>
        <w:pStyle w:val="ListNumber"/>
      </w:pPr>
      <w:r>
        <w:rPr>
          <w:rFonts w:ascii="Times New Roman" w:hAnsi="Times New Roman"/>
          <w:b w:val="0"/>
          <w:i w:val="0"/>
          <w:sz w:val="22"/>
        </w:rPr>
        <w:t>Calibración PIT y curva Lifetime PD (05_calibracion_lifetime.py)</w:t>
      </w:r>
    </w:p>
    <w:p>
      <w:pPr>
        <w:pStyle w:val="ListNumber"/>
      </w:pPr>
      <w:r>
        <w:rPr>
          <w:rFonts w:ascii="Times New Roman" w:hAnsi="Times New Roman"/>
          <w:b w:val="0"/>
          <w:i w:val="0"/>
          <w:sz w:val="22"/>
        </w:rPr>
        <w:t>Validación regulatoria (06_validacion.py)</w:t>
      </w:r>
    </w:p>
    <w:p>
      <w:pPr>
        <w:pStyle w:val="ListNumber"/>
      </w:pPr>
      <w:r>
        <w:rPr>
          <w:rFonts w:ascii="Times New Roman" w:hAnsi="Times New Roman"/>
          <w:b w:val="0"/>
          <w:i w:val="0"/>
          <w:sz w:val="22"/>
        </w:rPr>
        <w:t>Explicabilidad SHAP (07_explicabilidad.py)</w:t>
      </w:r>
    </w:p>
    <w:p>
      <w:pPr>
        <w:pStyle w:val="Heading2"/>
        <w:jc w:val="left"/>
      </w:pPr>
      <w:r>
        <w:rPr>
          <w:rFonts w:ascii="Times New Roman" w:hAnsi="Times New Roman"/>
          <w:b/>
          <w:color w:val="000000"/>
          <w:sz w:val="26"/>
        </w:rPr>
        <w:t>5.1 Carga y Preparación de Datos</w:t>
      </w:r>
    </w:p>
    <w:p>
      <w:pPr>
        <w:spacing w:before="0" w:after="120" w:line="360" w:lineRule="exact"/>
        <w:jc w:val="both"/>
      </w:pPr>
      <w:r>
        <w:rPr>
          <w:rFonts w:ascii="Times New Roman" w:hAnsi="Times New Roman"/>
          <w:b w:val="0"/>
          <w:i w:val="0"/>
          <w:sz w:val="24"/>
        </w:rPr>
        <w:t>Los datos son leídos desde los archivos pipe-delimited originales, con todas las columnas cargadas como string para evitar errores de inferencia de tipos. Los códigos sentinel definidos en el User Guide (e.g., 9999 para credit score no disponible, 999 para LTV/DTI/MI) son convertidos a NaN por columna.</w:t>
      </w:r>
    </w:p>
    <w:p>
      <w:pPr>
        <w:spacing w:before="80" w:after="80"/>
        <w:ind w:left="567"/>
        <w:shd w:val="clear" w:color="auto" w:fill="F2F2F2"/>
      </w:pPr>
      <w:r>
        <w:rPr>
          <w:rFonts w:ascii="Courier New" w:hAnsi="Courier New"/>
          <w:sz w:val="18"/>
        </w:rPr>
        <w:t># Ejemplo: lectura robusta con tratamiento de sentinels</w:t>
        <w:br/>
        <w:t>df = pd.read_csv(ruta, sep='|', header=None, names=ORIG_COLS,</w:t>
        <w:br/>
        <w:t xml:space="preserve">                 dtype=str, na_values=[''], keep_default_na=False)</w:t>
        <w:br/>
        <w:t>df['credit_score'] = pd.to_numeric(df['credit_score'],</w:t>
        <w:br/>
        <w:t xml:space="preserve">                     errors='coerce').replace(9999, np.nan)</w:t>
        <w:br/>
        <w:t>df['original_ltv'] = pd.to_numeric(df['original_ltv'],</w:t>
        <w:br/>
        <w:t xml:space="preserve">                     errors='coerce').replace(999, np.nan)</w:t>
      </w:r>
    </w:p>
    <w:p>
      <w:pPr>
        <w:spacing w:before="0" w:after="120" w:line="360" w:lineRule="exact"/>
        <w:jc w:val="both"/>
      </w:pPr>
      <w:r>
        <w:rPr>
          <w:rFonts w:ascii="Times New Roman" w:hAnsi="Times New Roman"/>
          <w:b w:val="0"/>
          <w:i w:val="0"/>
          <w:sz w:val="24"/>
        </w:rPr>
        <w:t>El panel longitudinal resultante contiene 14,603,212 observaciones mensuales correspondientes a 400,000 préstamos únicos.</w:t>
      </w:r>
    </w:p>
    <w:p>
      <w:r>
        <w:br w:type="page"/>
      </w:r>
    </w:p>
    <w:p>
      <w:pPr>
        <w:pStyle w:val="Heading1"/>
        <w:jc w:val="left"/>
      </w:pPr>
      <w:r>
        <w:rPr>
          <w:rFonts w:ascii="Times New Roman" w:hAnsi="Times New Roman"/>
          <w:b/>
          <w:color w:val="000000"/>
          <w:sz w:val="28"/>
        </w:rPr>
        <w:t>6. Definición del Default y Clasificación IFRS 9</w:t>
      </w:r>
    </w:p>
    <w:p>
      <w:pPr>
        <w:spacing w:before="80" w:after="80"/>
        <w:ind w:left="567"/>
        <w:shd w:val="clear" w:color="auto" w:fill="F2F2F2"/>
      </w:pPr>
      <w:r>
        <w:rPr>
          <w:rFonts w:ascii="Courier New" w:hAnsi="Courier New"/>
          <w:sz w:val="18"/>
        </w:rPr>
        <w:t># Definición de default IFRS 9</w:t>
        <w:br/>
        <w:t>svcg['dpd_numerico'] = pd.to_numeric(</w:t>
        <w:br/>
        <w:t xml:space="preserve">    svcg['current_loan_delinquency_status'].replace('RA', 99),</w:t>
        <w:br/>
        <w:t xml:space="preserve">    errors='coerce'</w:t>
        <w:br/>
        <w:t>)</w:t>
        <w:br/>
        <w:t>svcg['evento_default'] = (</w:t>
        <w:br/>
        <w:t xml:space="preserve">    (svcg['dpd_numerico'] &gt;= 3) |        # ≥ 90 DPD</w:t>
        <w:br/>
        <w:t xml:space="preserve">    svcg['zero_balance_code'].isin({'02','03','09'})</w:t>
        <w:br/>
        <w:t>)</w:t>
        <w:br/>
        <w:t># Stage 1: DPD=0 | Stage 2: 1≤DPD&lt;3 | Stage 3: DPD≥3 o default</w:t>
      </w:r>
    </w:p>
    <w:p>
      <w:pPr>
        <w:pStyle w:val="Heading2"/>
        <w:jc w:val="left"/>
      </w:pPr>
      <w:r>
        <w:rPr>
          <w:rFonts w:ascii="Times New Roman" w:hAnsi="Times New Roman"/>
          <w:b/>
          <w:color w:val="000000"/>
          <w:sz w:val="26"/>
        </w:rPr>
        <w:t>6.1 Distribución de Stages IFRS 9</w:t>
      </w:r>
    </w:p>
    <w:p>
      <w:pPr>
        <w:jc w:val="center"/>
      </w:pPr>
      <w:r>
        <w:rPr>
          <w:rFonts w:ascii="Times New Roman" w:hAnsi="Times New Roman"/>
          <w:b w:val="0"/>
          <w:i/>
          <w:sz w:val="20"/>
        </w:rPr>
        <w:t>Tabla 2. Distribución de stages IFRS 9</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rFonts w:ascii="Times New Roman" w:hAnsi="Times New Roman"/>
                <w:b/>
                <w:color w:val="FFFFFF"/>
                <w:sz w:val="18"/>
              </w:rPr>
              <w:t>Stage</w:t>
            </w:r>
          </w:p>
        </w:tc>
        <w:tc>
          <w:tcPr>
            <w:tcW w:type="dxa" w:w="3041"/>
            <w:shd w:val="clear" w:color="auto" w:fill="1F4E79"/>
          </w:tcPr>
          <w:p>
            <w:r>
              <w:rPr>
                <w:rFonts w:ascii="Times New Roman" w:hAnsi="Times New Roman"/>
                <w:b/>
                <w:color w:val="FFFFFF"/>
                <w:sz w:val="18"/>
              </w:rPr>
              <w:t>Observaciones</w:t>
            </w:r>
          </w:p>
        </w:tc>
        <w:tc>
          <w:tcPr>
            <w:tcW w:type="dxa" w:w="3041"/>
            <w:shd w:val="clear" w:color="auto" w:fill="1F4E79"/>
          </w:tcPr>
          <w:p>
            <w:r>
              <w:rPr>
                <w:rFonts w:ascii="Times New Roman" w:hAnsi="Times New Roman"/>
                <w:b/>
                <w:color w:val="FFFFFF"/>
                <w:sz w:val="18"/>
              </w:rPr>
              <w:t>Porcentaje (%)</w:t>
            </w:r>
          </w:p>
        </w:tc>
      </w:tr>
      <w:tr>
        <w:tc>
          <w:tcPr>
            <w:tcW w:type="dxa" w:w="3041"/>
            <w:shd w:val="clear" w:color="auto" w:fill="FFFFFF"/>
          </w:tcPr>
          <w:p>
            <w:r>
              <w:rPr>
                <w:rFonts w:ascii="Times New Roman" w:hAnsi="Times New Roman"/>
                <w:sz w:val="18"/>
              </w:rPr>
              <w:t>Stage 1</w:t>
            </w:r>
          </w:p>
        </w:tc>
        <w:tc>
          <w:tcPr>
            <w:tcW w:type="dxa" w:w="3041"/>
            <w:shd w:val="clear" w:color="auto" w:fill="FFFFFF"/>
          </w:tcPr>
          <w:p>
            <w:r>
              <w:rPr>
                <w:rFonts w:ascii="Times New Roman" w:hAnsi="Times New Roman"/>
                <w:sz w:val="18"/>
              </w:rPr>
              <w:t>14,328,713</w:t>
            </w:r>
          </w:p>
        </w:tc>
        <w:tc>
          <w:tcPr>
            <w:tcW w:type="dxa" w:w="3041"/>
            <w:shd w:val="clear" w:color="auto" w:fill="FFFFFF"/>
          </w:tcPr>
          <w:p>
            <w:r>
              <w:rPr>
                <w:rFonts w:ascii="Times New Roman" w:hAnsi="Times New Roman"/>
                <w:sz w:val="18"/>
              </w:rPr>
              <w:t>98.12%</w:t>
            </w:r>
          </w:p>
        </w:tc>
      </w:tr>
      <w:tr>
        <w:tc>
          <w:tcPr>
            <w:tcW w:type="dxa" w:w="3041"/>
            <w:shd w:val="clear" w:color="auto" w:fill="E8F0FE"/>
          </w:tcPr>
          <w:p>
            <w:r>
              <w:rPr>
                <w:rFonts w:ascii="Times New Roman" w:hAnsi="Times New Roman"/>
                <w:sz w:val="18"/>
              </w:rPr>
              <w:t>Stage 2</w:t>
            </w:r>
          </w:p>
        </w:tc>
        <w:tc>
          <w:tcPr>
            <w:tcW w:type="dxa" w:w="3041"/>
            <w:shd w:val="clear" w:color="auto" w:fill="E8F0FE"/>
          </w:tcPr>
          <w:p>
            <w:r>
              <w:rPr>
                <w:rFonts w:ascii="Times New Roman" w:hAnsi="Times New Roman"/>
                <w:sz w:val="18"/>
              </w:rPr>
              <w:t>152,758</w:t>
            </w:r>
          </w:p>
        </w:tc>
        <w:tc>
          <w:tcPr>
            <w:tcW w:type="dxa" w:w="3041"/>
            <w:shd w:val="clear" w:color="auto" w:fill="E8F0FE"/>
          </w:tcPr>
          <w:p>
            <w:r>
              <w:rPr>
                <w:rFonts w:ascii="Times New Roman" w:hAnsi="Times New Roman"/>
                <w:sz w:val="18"/>
              </w:rPr>
              <w:t>1.05%</w:t>
            </w:r>
          </w:p>
        </w:tc>
      </w:tr>
      <w:tr>
        <w:tc>
          <w:tcPr>
            <w:tcW w:type="dxa" w:w="3041"/>
            <w:shd w:val="clear" w:color="auto" w:fill="FFFFFF"/>
          </w:tcPr>
          <w:p>
            <w:r>
              <w:rPr>
                <w:rFonts w:ascii="Times New Roman" w:hAnsi="Times New Roman"/>
                <w:sz w:val="18"/>
              </w:rPr>
              <w:t>Stage 3</w:t>
            </w:r>
          </w:p>
        </w:tc>
        <w:tc>
          <w:tcPr>
            <w:tcW w:type="dxa" w:w="3041"/>
            <w:shd w:val="clear" w:color="auto" w:fill="FFFFFF"/>
          </w:tcPr>
          <w:p>
            <w:r>
              <w:rPr>
                <w:rFonts w:ascii="Times New Roman" w:hAnsi="Times New Roman"/>
                <w:sz w:val="18"/>
              </w:rPr>
              <w:t>121,741</w:t>
            </w:r>
          </w:p>
        </w:tc>
        <w:tc>
          <w:tcPr>
            <w:tcW w:type="dxa" w:w="3041"/>
            <w:shd w:val="clear" w:color="auto" w:fill="FFFFFF"/>
          </w:tcPr>
          <w:p>
            <w:r>
              <w:rPr>
                <w:rFonts w:ascii="Times New Roman" w:hAnsi="Times New Roman"/>
                <w:sz w:val="18"/>
              </w:rPr>
              <w:t>0.83%</w:t>
            </w:r>
          </w:p>
        </w:tc>
      </w:tr>
    </w:tbl>
    <w:p/>
    <w:p>
      <w:pPr>
        <w:spacing w:before="0" w:after="120" w:line="360" w:lineRule="exact"/>
        <w:jc w:val="both"/>
      </w:pPr>
      <w:r>
        <w:rPr>
          <w:rFonts w:ascii="Times New Roman" w:hAnsi="Times New Roman"/>
          <w:b w:val="0"/>
          <w:i w:val="0"/>
          <w:sz w:val="24"/>
        </w:rPr>
        <w:t>La tasa de default a 12 meses sobre las observaciones activas (Stage 1 y 2) es de 1.2193%, lo que refleja el carácter desbalanceado típico de las carteras crediticias retail.</w:t>
      </w:r>
    </w:p>
    <w:p>
      <w:r>
        <w:br w:type="page"/>
      </w:r>
    </w:p>
    <w:p>
      <w:pPr>
        <w:pStyle w:val="Heading1"/>
        <w:jc w:val="left"/>
      </w:pPr>
      <w:r>
        <w:rPr>
          <w:rFonts w:ascii="Times New Roman" w:hAnsi="Times New Roman"/>
          <w:b/>
          <w:color w:val="000000"/>
          <w:sz w:val="28"/>
        </w:rPr>
        <w:t>7. Ingeniería de Variables (Feature Engineering)</w:t>
      </w:r>
    </w:p>
    <w:p>
      <w:pPr>
        <w:spacing w:before="0" w:after="120" w:line="360" w:lineRule="exact"/>
        <w:jc w:val="both"/>
      </w:pPr>
      <w:r>
        <w:rPr>
          <w:rFonts w:ascii="Times New Roman" w:hAnsi="Times New Roman"/>
          <w:b w:val="0"/>
          <w:i w:val="0"/>
          <w:sz w:val="24"/>
        </w:rPr>
        <w:t>Se utilizan dos tipos de variables: estáticas (de originación) y dinámicas (de comportamiento mensual). Las variables de comportamiento son las de mayor poder predictivo bajo el enfoque PIT de IFRS 9.</w:t>
      </w:r>
    </w:p>
    <w:p>
      <w:pPr>
        <w:jc w:val="center"/>
      </w:pPr>
      <w:r>
        <w:rPr>
          <w:rFonts w:ascii="Times New Roman" w:hAnsi="Times New Roman"/>
          <w:b w:val="0"/>
          <w:i/>
          <w:sz w:val="20"/>
        </w:rPr>
        <w:t>Tabla 3. Variables del modelo PD IFRS 9</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rFonts w:ascii="Times New Roman" w:hAnsi="Times New Roman"/>
                <w:b/>
                <w:color w:val="FFFFFF"/>
                <w:sz w:val="18"/>
              </w:rPr>
              <w:t>Variable</w:t>
            </w:r>
          </w:p>
        </w:tc>
        <w:tc>
          <w:tcPr>
            <w:tcW w:type="dxa" w:w="3041"/>
            <w:shd w:val="clear" w:color="auto" w:fill="1F4E79"/>
          </w:tcPr>
          <w:p>
            <w:r>
              <w:rPr>
                <w:rFonts w:ascii="Times New Roman" w:hAnsi="Times New Roman"/>
                <w:b/>
                <w:color w:val="FFFFFF"/>
                <w:sz w:val="18"/>
              </w:rPr>
              <w:t>Tipo</w:t>
            </w:r>
          </w:p>
        </w:tc>
        <w:tc>
          <w:tcPr>
            <w:tcW w:type="dxa" w:w="3041"/>
            <w:shd w:val="clear" w:color="auto" w:fill="1F4E79"/>
          </w:tcPr>
          <w:p>
            <w:r>
              <w:rPr>
                <w:rFonts w:ascii="Times New Roman" w:hAnsi="Times New Roman"/>
                <w:b/>
                <w:color w:val="FFFFFF"/>
                <w:sz w:val="18"/>
              </w:rPr>
              <w:t>Descripción</w:t>
            </w:r>
          </w:p>
        </w:tc>
      </w:tr>
      <w:tr>
        <w:tc>
          <w:tcPr>
            <w:tcW w:type="dxa" w:w="3041"/>
            <w:shd w:val="clear" w:color="auto" w:fill="FFFFFF"/>
          </w:tcPr>
          <w:p>
            <w:r>
              <w:rPr>
                <w:rFonts w:ascii="Times New Roman" w:hAnsi="Times New Roman"/>
                <w:sz w:val="18"/>
              </w:rPr>
              <w:t>credit_score</w:t>
            </w:r>
          </w:p>
        </w:tc>
        <w:tc>
          <w:tcPr>
            <w:tcW w:type="dxa" w:w="3041"/>
            <w:shd w:val="clear" w:color="auto" w:fill="FFFFFF"/>
          </w:tcPr>
          <w:p>
            <w:r>
              <w:rPr>
                <w:rFonts w:ascii="Times New Roman" w:hAnsi="Times New Roman"/>
                <w:sz w:val="18"/>
              </w:rPr>
              <w:t>Originación</w:t>
            </w:r>
          </w:p>
        </w:tc>
        <w:tc>
          <w:tcPr>
            <w:tcW w:type="dxa" w:w="3041"/>
            <w:shd w:val="clear" w:color="auto" w:fill="FFFFFF"/>
          </w:tcPr>
          <w:p>
            <w:r>
              <w:rPr>
                <w:rFonts w:ascii="Times New Roman" w:hAnsi="Times New Roman"/>
                <w:sz w:val="18"/>
              </w:rPr>
              <w:t>FICO al momento de originación</w:t>
            </w:r>
          </w:p>
        </w:tc>
      </w:tr>
      <w:tr>
        <w:tc>
          <w:tcPr>
            <w:tcW w:type="dxa" w:w="3041"/>
            <w:shd w:val="clear" w:color="auto" w:fill="E8F0FE"/>
          </w:tcPr>
          <w:p>
            <w:r>
              <w:rPr>
                <w:rFonts w:ascii="Times New Roman" w:hAnsi="Times New Roman"/>
                <w:sz w:val="18"/>
              </w:rPr>
              <w:t>original_ltv</w:t>
            </w:r>
          </w:p>
        </w:tc>
        <w:tc>
          <w:tcPr>
            <w:tcW w:type="dxa" w:w="3041"/>
            <w:shd w:val="clear" w:color="auto" w:fill="E8F0FE"/>
          </w:tcPr>
          <w:p>
            <w:r>
              <w:rPr>
                <w:rFonts w:ascii="Times New Roman" w:hAnsi="Times New Roman"/>
                <w:sz w:val="18"/>
              </w:rPr>
              <w:t>Originación</w:t>
            </w:r>
          </w:p>
        </w:tc>
        <w:tc>
          <w:tcPr>
            <w:tcW w:type="dxa" w:w="3041"/>
            <w:shd w:val="clear" w:color="auto" w:fill="E8F0FE"/>
          </w:tcPr>
          <w:p>
            <w:r>
              <w:rPr>
                <w:rFonts w:ascii="Times New Roman" w:hAnsi="Times New Roman"/>
                <w:sz w:val="18"/>
              </w:rPr>
              <w:t>LTV original (%)</w:t>
            </w:r>
          </w:p>
        </w:tc>
      </w:tr>
      <w:tr>
        <w:tc>
          <w:tcPr>
            <w:tcW w:type="dxa" w:w="3041"/>
            <w:shd w:val="clear" w:color="auto" w:fill="FFFFFF"/>
          </w:tcPr>
          <w:p>
            <w:r>
              <w:rPr>
                <w:rFonts w:ascii="Times New Roman" w:hAnsi="Times New Roman"/>
                <w:sz w:val="18"/>
              </w:rPr>
              <w:t>original_cltv</w:t>
            </w:r>
          </w:p>
        </w:tc>
        <w:tc>
          <w:tcPr>
            <w:tcW w:type="dxa" w:w="3041"/>
            <w:shd w:val="clear" w:color="auto" w:fill="FFFFFF"/>
          </w:tcPr>
          <w:p>
            <w:r>
              <w:rPr>
                <w:rFonts w:ascii="Times New Roman" w:hAnsi="Times New Roman"/>
                <w:sz w:val="18"/>
              </w:rPr>
              <w:t>Originación</w:t>
            </w:r>
          </w:p>
        </w:tc>
        <w:tc>
          <w:tcPr>
            <w:tcW w:type="dxa" w:w="3041"/>
            <w:shd w:val="clear" w:color="auto" w:fill="FFFFFF"/>
          </w:tcPr>
          <w:p>
            <w:r>
              <w:rPr>
                <w:rFonts w:ascii="Times New Roman" w:hAnsi="Times New Roman"/>
                <w:sz w:val="18"/>
              </w:rPr>
              <w:t>CLTV original (%)</w:t>
            </w:r>
          </w:p>
        </w:tc>
      </w:tr>
      <w:tr>
        <w:tc>
          <w:tcPr>
            <w:tcW w:type="dxa" w:w="3041"/>
            <w:shd w:val="clear" w:color="auto" w:fill="E8F0FE"/>
          </w:tcPr>
          <w:p>
            <w:r>
              <w:rPr>
                <w:rFonts w:ascii="Times New Roman" w:hAnsi="Times New Roman"/>
                <w:sz w:val="18"/>
              </w:rPr>
              <w:t>original_dti</w:t>
            </w:r>
          </w:p>
        </w:tc>
        <w:tc>
          <w:tcPr>
            <w:tcW w:type="dxa" w:w="3041"/>
            <w:shd w:val="clear" w:color="auto" w:fill="E8F0FE"/>
          </w:tcPr>
          <w:p>
            <w:r>
              <w:rPr>
                <w:rFonts w:ascii="Times New Roman" w:hAnsi="Times New Roman"/>
                <w:sz w:val="18"/>
              </w:rPr>
              <w:t>Originación</w:t>
            </w:r>
          </w:p>
        </w:tc>
        <w:tc>
          <w:tcPr>
            <w:tcW w:type="dxa" w:w="3041"/>
            <w:shd w:val="clear" w:color="auto" w:fill="E8F0FE"/>
          </w:tcPr>
          <w:p>
            <w:r>
              <w:rPr>
                <w:rFonts w:ascii="Times New Roman" w:hAnsi="Times New Roman"/>
                <w:sz w:val="18"/>
              </w:rPr>
              <w:t>DTI original (%)</w:t>
            </w:r>
          </w:p>
        </w:tc>
      </w:tr>
      <w:tr>
        <w:tc>
          <w:tcPr>
            <w:tcW w:type="dxa" w:w="3041"/>
            <w:shd w:val="clear" w:color="auto" w:fill="FFFFFF"/>
          </w:tcPr>
          <w:p>
            <w:r>
              <w:rPr>
                <w:rFonts w:ascii="Times New Roman" w:hAnsi="Times New Roman"/>
                <w:sz w:val="18"/>
              </w:rPr>
              <w:t>original_interest_rate</w:t>
            </w:r>
          </w:p>
        </w:tc>
        <w:tc>
          <w:tcPr>
            <w:tcW w:type="dxa" w:w="3041"/>
            <w:shd w:val="clear" w:color="auto" w:fill="FFFFFF"/>
          </w:tcPr>
          <w:p>
            <w:r>
              <w:rPr>
                <w:rFonts w:ascii="Times New Roman" w:hAnsi="Times New Roman"/>
                <w:sz w:val="18"/>
              </w:rPr>
              <w:t>Originación</w:t>
            </w:r>
          </w:p>
        </w:tc>
        <w:tc>
          <w:tcPr>
            <w:tcW w:type="dxa" w:w="3041"/>
            <w:shd w:val="clear" w:color="auto" w:fill="FFFFFF"/>
          </w:tcPr>
          <w:p>
            <w:r>
              <w:rPr>
                <w:rFonts w:ascii="Times New Roman" w:hAnsi="Times New Roman"/>
                <w:sz w:val="18"/>
              </w:rPr>
              <w:t>Tasa nominal original</w:t>
            </w:r>
          </w:p>
        </w:tc>
      </w:tr>
      <w:tr>
        <w:tc>
          <w:tcPr>
            <w:tcW w:type="dxa" w:w="3041"/>
            <w:shd w:val="clear" w:color="auto" w:fill="E8F0FE"/>
          </w:tcPr>
          <w:p>
            <w:r>
              <w:rPr>
                <w:rFonts w:ascii="Times New Roman" w:hAnsi="Times New Roman"/>
                <w:sz w:val="18"/>
              </w:rPr>
              <w:t>original_loan_term</w:t>
            </w:r>
          </w:p>
        </w:tc>
        <w:tc>
          <w:tcPr>
            <w:tcW w:type="dxa" w:w="3041"/>
            <w:shd w:val="clear" w:color="auto" w:fill="E8F0FE"/>
          </w:tcPr>
          <w:p>
            <w:r>
              <w:rPr>
                <w:rFonts w:ascii="Times New Roman" w:hAnsi="Times New Roman"/>
                <w:sz w:val="18"/>
              </w:rPr>
              <w:t>Originación</w:t>
            </w:r>
          </w:p>
        </w:tc>
        <w:tc>
          <w:tcPr>
            <w:tcW w:type="dxa" w:w="3041"/>
            <w:shd w:val="clear" w:color="auto" w:fill="E8F0FE"/>
          </w:tcPr>
          <w:p>
            <w:r>
              <w:rPr>
                <w:rFonts w:ascii="Times New Roman" w:hAnsi="Times New Roman"/>
                <w:sz w:val="18"/>
              </w:rPr>
              <w:t>Plazo en meses</w:t>
            </w:r>
          </w:p>
        </w:tc>
      </w:tr>
      <w:tr>
        <w:tc>
          <w:tcPr>
            <w:tcW w:type="dxa" w:w="3041"/>
            <w:shd w:val="clear" w:color="auto" w:fill="FFFFFF"/>
          </w:tcPr>
          <w:p>
            <w:r>
              <w:rPr>
                <w:rFonts w:ascii="Times New Roman" w:hAnsi="Times New Roman"/>
                <w:sz w:val="18"/>
              </w:rPr>
              <w:t>loan_purpose</w:t>
            </w:r>
          </w:p>
        </w:tc>
        <w:tc>
          <w:tcPr>
            <w:tcW w:type="dxa" w:w="3041"/>
            <w:shd w:val="clear" w:color="auto" w:fill="FFFFFF"/>
          </w:tcPr>
          <w:p>
            <w:r>
              <w:rPr>
                <w:rFonts w:ascii="Times New Roman" w:hAnsi="Times New Roman"/>
                <w:sz w:val="18"/>
              </w:rPr>
              <w:t>Originación</w:t>
            </w:r>
          </w:p>
        </w:tc>
        <w:tc>
          <w:tcPr>
            <w:tcW w:type="dxa" w:w="3041"/>
            <w:shd w:val="clear" w:color="auto" w:fill="FFFFFF"/>
          </w:tcPr>
          <w:p>
            <w:r>
              <w:rPr>
                <w:rFonts w:ascii="Times New Roman" w:hAnsi="Times New Roman"/>
                <w:sz w:val="18"/>
              </w:rPr>
              <w:t>Propósito: compra / refinanciación</w:t>
            </w:r>
          </w:p>
        </w:tc>
      </w:tr>
      <w:tr>
        <w:tc>
          <w:tcPr>
            <w:tcW w:type="dxa" w:w="3041"/>
            <w:shd w:val="clear" w:color="auto" w:fill="E8F0FE"/>
          </w:tcPr>
          <w:p>
            <w:r>
              <w:rPr>
                <w:rFonts w:ascii="Times New Roman" w:hAnsi="Times New Roman"/>
                <w:sz w:val="18"/>
              </w:rPr>
              <w:t>occupancy_status</w:t>
            </w:r>
          </w:p>
        </w:tc>
        <w:tc>
          <w:tcPr>
            <w:tcW w:type="dxa" w:w="3041"/>
            <w:shd w:val="clear" w:color="auto" w:fill="E8F0FE"/>
          </w:tcPr>
          <w:p>
            <w:r>
              <w:rPr>
                <w:rFonts w:ascii="Times New Roman" w:hAnsi="Times New Roman"/>
                <w:sz w:val="18"/>
              </w:rPr>
              <w:t>Originación</w:t>
            </w:r>
          </w:p>
        </w:tc>
        <w:tc>
          <w:tcPr>
            <w:tcW w:type="dxa" w:w="3041"/>
            <w:shd w:val="clear" w:color="auto" w:fill="E8F0FE"/>
          </w:tcPr>
          <w:p>
            <w:r>
              <w:rPr>
                <w:rFonts w:ascii="Times New Roman" w:hAnsi="Times New Roman"/>
                <w:sz w:val="18"/>
              </w:rPr>
              <w:t>Primaria / Inversión / Segunda</w:t>
            </w:r>
          </w:p>
        </w:tc>
      </w:tr>
      <w:tr>
        <w:tc>
          <w:tcPr>
            <w:tcW w:type="dxa" w:w="3041"/>
            <w:shd w:val="clear" w:color="auto" w:fill="FFFFFF"/>
          </w:tcPr>
          <w:p>
            <w:r>
              <w:rPr>
                <w:rFonts w:ascii="Times New Roman" w:hAnsi="Times New Roman"/>
                <w:sz w:val="18"/>
              </w:rPr>
              <w:t>channel</w:t>
            </w:r>
          </w:p>
        </w:tc>
        <w:tc>
          <w:tcPr>
            <w:tcW w:type="dxa" w:w="3041"/>
            <w:shd w:val="clear" w:color="auto" w:fill="FFFFFF"/>
          </w:tcPr>
          <w:p>
            <w:r>
              <w:rPr>
                <w:rFonts w:ascii="Times New Roman" w:hAnsi="Times New Roman"/>
                <w:sz w:val="18"/>
              </w:rPr>
              <w:t>Originación</w:t>
            </w:r>
          </w:p>
        </w:tc>
        <w:tc>
          <w:tcPr>
            <w:tcW w:type="dxa" w:w="3041"/>
            <w:shd w:val="clear" w:color="auto" w:fill="FFFFFF"/>
          </w:tcPr>
          <w:p>
            <w:r>
              <w:rPr>
                <w:rFonts w:ascii="Times New Roman" w:hAnsi="Times New Roman"/>
                <w:sz w:val="18"/>
              </w:rPr>
              <w:t>Canal: Retail / Broker / Correspondent</w:t>
            </w:r>
          </w:p>
        </w:tc>
      </w:tr>
      <w:tr>
        <w:tc>
          <w:tcPr>
            <w:tcW w:type="dxa" w:w="3041"/>
            <w:shd w:val="clear" w:color="auto" w:fill="E8F0FE"/>
          </w:tcPr>
          <w:p>
            <w:r>
              <w:rPr>
                <w:rFonts w:ascii="Times New Roman" w:hAnsi="Times New Roman"/>
                <w:sz w:val="18"/>
              </w:rPr>
              <w:t>loan_age</w:t>
            </w:r>
          </w:p>
        </w:tc>
        <w:tc>
          <w:tcPr>
            <w:tcW w:type="dxa" w:w="3041"/>
            <w:shd w:val="clear" w:color="auto" w:fill="E8F0FE"/>
          </w:tcPr>
          <w:p>
            <w:r>
              <w:rPr>
                <w:rFonts w:ascii="Times New Roman" w:hAnsi="Times New Roman"/>
                <w:sz w:val="18"/>
              </w:rPr>
              <w:t>Comportamiento</w:t>
            </w:r>
          </w:p>
        </w:tc>
        <w:tc>
          <w:tcPr>
            <w:tcW w:type="dxa" w:w="3041"/>
            <w:shd w:val="clear" w:color="auto" w:fill="E8F0FE"/>
          </w:tcPr>
          <w:p>
            <w:r>
              <w:rPr>
                <w:rFonts w:ascii="Times New Roman" w:hAnsi="Times New Roman"/>
                <w:sz w:val="18"/>
              </w:rPr>
              <w:t>Antigüedad del préstamo (meses)</w:t>
            </w:r>
          </w:p>
        </w:tc>
      </w:tr>
      <w:tr>
        <w:tc>
          <w:tcPr>
            <w:tcW w:type="dxa" w:w="3041"/>
            <w:shd w:val="clear" w:color="auto" w:fill="FFFFFF"/>
          </w:tcPr>
          <w:p>
            <w:r>
              <w:rPr>
                <w:rFonts w:ascii="Times New Roman" w:hAnsi="Times New Roman"/>
                <w:sz w:val="18"/>
              </w:rPr>
              <w:t>dpd_numerico</w:t>
            </w:r>
          </w:p>
        </w:tc>
        <w:tc>
          <w:tcPr>
            <w:tcW w:type="dxa" w:w="3041"/>
            <w:shd w:val="clear" w:color="auto" w:fill="FFFFFF"/>
          </w:tcPr>
          <w:p>
            <w:r>
              <w:rPr>
                <w:rFonts w:ascii="Times New Roman" w:hAnsi="Times New Roman"/>
                <w:sz w:val="18"/>
              </w:rPr>
              <w:t>Comportamiento</w:t>
            </w:r>
          </w:p>
        </w:tc>
        <w:tc>
          <w:tcPr>
            <w:tcW w:type="dxa" w:w="3041"/>
            <w:shd w:val="clear" w:color="auto" w:fill="FFFFFF"/>
          </w:tcPr>
          <w:p>
            <w:r>
              <w:rPr>
                <w:rFonts w:ascii="Times New Roman" w:hAnsi="Times New Roman"/>
                <w:sz w:val="18"/>
              </w:rPr>
              <w:t>DPD del período corriente</w:t>
            </w:r>
          </w:p>
        </w:tc>
      </w:tr>
      <w:tr>
        <w:tc>
          <w:tcPr>
            <w:tcW w:type="dxa" w:w="3041"/>
            <w:shd w:val="clear" w:color="auto" w:fill="E8F0FE"/>
          </w:tcPr>
          <w:p>
            <w:r>
              <w:rPr>
                <w:rFonts w:ascii="Times New Roman" w:hAnsi="Times New Roman"/>
                <w:sz w:val="18"/>
              </w:rPr>
              <w:t>max_dpd_3m</w:t>
            </w:r>
          </w:p>
        </w:tc>
        <w:tc>
          <w:tcPr>
            <w:tcW w:type="dxa" w:w="3041"/>
            <w:shd w:val="clear" w:color="auto" w:fill="E8F0FE"/>
          </w:tcPr>
          <w:p>
            <w:r>
              <w:rPr>
                <w:rFonts w:ascii="Times New Roman" w:hAnsi="Times New Roman"/>
                <w:sz w:val="18"/>
              </w:rPr>
              <w:t>Comportamiento</w:t>
            </w:r>
          </w:p>
        </w:tc>
        <w:tc>
          <w:tcPr>
            <w:tcW w:type="dxa" w:w="3041"/>
            <w:shd w:val="clear" w:color="auto" w:fill="E8F0FE"/>
          </w:tcPr>
          <w:p>
            <w:r>
              <w:rPr>
                <w:rFonts w:ascii="Times New Roman" w:hAnsi="Times New Roman"/>
                <w:sz w:val="18"/>
              </w:rPr>
              <w:t>Máximo DPD últimos 3 meses</w:t>
            </w:r>
          </w:p>
        </w:tc>
      </w:tr>
      <w:tr>
        <w:tc>
          <w:tcPr>
            <w:tcW w:type="dxa" w:w="3041"/>
            <w:shd w:val="clear" w:color="auto" w:fill="FFFFFF"/>
          </w:tcPr>
          <w:p>
            <w:r>
              <w:rPr>
                <w:rFonts w:ascii="Times New Roman" w:hAnsi="Times New Roman"/>
                <w:sz w:val="18"/>
              </w:rPr>
              <w:t>max_dpd_6m</w:t>
            </w:r>
          </w:p>
        </w:tc>
        <w:tc>
          <w:tcPr>
            <w:tcW w:type="dxa" w:w="3041"/>
            <w:shd w:val="clear" w:color="auto" w:fill="FFFFFF"/>
          </w:tcPr>
          <w:p>
            <w:r>
              <w:rPr>
                <w:rFonts w:ascii="Times New Roman" w:hAnsi="Times New Roman"/>
                <w:sz w:val="18"/>
              </w:rPr>
              <w:t>Comportamiento</w:t>
            </w:r>
          </w:p>
        </w:tc>
        <w:tc>
          <w:tcPr>
            <w:tcW w:type="dxa" w:w="3041"/>
            <w:shd w:val="clear" w:color="auto" w:fill="FFFFFF"/>
          </w:tcPr>
          <w:p>
            <w:r>
              <w:rPr>
                <w:rFonts w:ascii="Times New Roman" w:hAnsi="Times New Roman"/>
                <w:sz w:val="18"/>
              </w:rPr>
              <w:t>Máximo DPD últimos 6 meses</w:t>
            </w:r>
          </w:p>
        </w:tc>
      </w:tr>
      <w:tr>
        <w:tc>
          <w:tcPr>
            <w:tcW w:type="dxa" w:w="3041"/>
            <w:shd w:val="clear" w:color="auto" w:fill="E8F0FE"/>
          </w:tcPr>
          <w:p>
            <w:r>
              <w:rPr>
                <w:rFonts w:ascii="Times New Roman" w:hAnsi="Times New Roman"/>
                <w:sz w:val="18"/>
              </w:rPr>
              <w:t>max_dpd_12m</w:t>
            </w:r>
          </w:p>
        </w:tc>
        <w:tc>
          <w:tcPr>
            <w:tcW w:type="dxa" w:w="3041"/>
            <w:shd w:val="clear" w:color="auto" w:fill="E8F0FE"/>
          </w:tcPr>
          <w:p>
            <w:r>
              <w:rPr>
                <w:rFonts w:ascii="Times New Roman" w:hAnsi="Times New Roman"/>
                <w:sz w:val="18"/>
              </w:rPr>
              <w:t>Comportamiento</w:t>
            </w:r>
          </w:p>
        </w:tc>
        <w:tc>
          <w:tcPr>
            <w:tcW w:type="dxa" w:w="3041"/>
            <w:shd w:val="clear" w:color="auto" w:fill="E8F0FE"/>
          </w:tcPr>
          <w:p>
            <w:r>
              <w:rPr>
                <w:rFonts w:ascii="Times New Roman" w:hAnsi="Times New Roman"/>
                <w:sz w:val="18"/>
              </w:rPr>
              <w:t>Máximo DPD últimos 12 meses</w:t>
            </w:r>
          </w:p>
        </w:tc>
      </w:tr>
      <w:tr>
        <w:tc>
          <w:tcPr>
            <w:tcW w:type="dxa" w:w="3041"/>
            <w:shd w:val="clear" w:color="auto" w:fill="FFFFFF"/>
          </w:tcPr>
          <w:p>
            <w:r>
              <w:rPr>
                <w:rFonts w:ascii="Times New Roman" w:hAnsi="Times New Roman"/>
                <w:sz w:val="18"/>
              </w:rPr>
              <w:t>estimated_loan_to_value_eltv</w:t>
            </w:r>
          </w:p>
        </w:tc>
        <w:tc>
          <w:tcPr>
            <w:tcW w:type="dxa" w:w="3041"/>
            <w:shd w:val="clear" w:color="auto" w:fill="FFFFFF"/>
          </w:tcPr>
          <w:p>
            <w:r>
              <w:rPr>
                <w:rFonts w:ascii="Times New Roman" w:hAnsi="Times New Roman"/>
                <w:sz w:val="18"/>
              </w:rPr>
              <w:t>Comportamiento</w:t>
            </w:r>
          </w:p>
        </w:tc>
        <w:tc>
          <w:tcPr>
            <w:tcW w:type="dxa" w:w="3041"/>
            <w:shd w:val="clear" w:color="auto" w:fill="FFFFFF"/>
          </w:tcPr>
          <w:p>
            <w:r>
              <w:rPr>
                <w:rFonts w:ascii="Times New Roman" w:hAnsi="Times New Roman"/>
                <w:sz w:val="18"/>
              </w:rPr>
              <w:t>LTV estimado AVM (desde abr-2017)</w:t>
            </w:r>
          </w:p>
        </w:tc>
      </w:tr>
      <w:tr>
        <w:tc>
          <w:tcPr>
            <w:tcW w:type="dxa" w:w="3041"/>
            <w:shd w:val="clear" w:color="auto" w:fill="E8F0FE"/>
          </w:tcPr>
          <w:p>
            <w:r>
              <w:rPr>
                <w:rFonts w:ascii="Times New Roman" w:hAnsi="Times New Roman"/>
                <w:sz w:val="18"/>
              </w:rPr>
              <w:t>spread_tasa</w:t>
            </w:r>
          </w:p>
        </w:tc>
        <w:tc>
          <w:tcPr>
            <w:tcW w:type="dxa" w:w="3041"/>
            <w:shd w:val="clear" w:color="auto" w:fill="E8F0FE"/>
          </w:tcPr>
          <w:p>
            <w:r>
              <w:rPr>
                <w:rFonts w:ascii="Times New Roman" w:hAnsi="Times New Roman"/>
                <w:sz w:val="18"/>
              </w:rPr>
              <w:t>Comportamiento</w:t>
            </w:r>
          </w:p>
        </w:tc>
        <w:tc>
          <w:tcPr>
            <w:tcW w:type="dxa" w:w="3041"/>
            <w:shd w:val="clear" w:color="auto" w:fill="E8F0FE"/>
          </w:tcPr>
          <w:p>
            <w:r>
              <w:rPr>
                <w:rFonts w:ascii="Times New Roman" w:hAnsi="Times New Roman"/>
                <w:sz w:val="18"/>
              </w:rPr>
              <w:t>Tasa corriente − Tasa original</w:t>
            </w:r>
          </w:p>
        </w:tc>
      </w:tr>
      <w:tr>
        <w:tc>
          <w:tcPr>
            <w:tcW w:type="dxa" w:w="3041"/>
            <w:shd w:val="clear" w:color="auto" w:fill="FFFFFF"/>
          </w:tcPr>
          <w:p>
            <w:r>
              <w:rPr>
                <w:rFonts w:ascii="Times New Roman" w:hAnsi="Times New Roman"/>
                <w:sz w:val="18"/>
              </w:rPr>
              <w:t>amortizacion_upb</w:t>
            </w:r>
          </w:p>
        </w:tc>
        <w:tc>
          <w:tcPr>
            <w:tcW w:type="dxa" w:w="3041"/>
            <w:shd w:val="clear" w:color="auto" w:fill="FFFFFF"/>
          </w:tcPr>
          <w:p>
            <w:r>
              <w:rPr>
                <w:rFonts w:ascii="Times New Roman" w:hAnsi="Times New Roman"/>
                <w:sz w:val="18"/>
              </w:rPr>
              <w:t>Comportamiento</w:t>
            </w:r>
          </w:p>
        </w:tc>
        <w:tc>
          <w:tcPr>
            <w:tcW w:type="dxa" w:w="3041"/>
            <w:shd w:val="clear" w:color="auto" w:fill="FFFFFF"/>
          </w:tcPr>
          <w:p>
            <w:r>
              <w:rPr>
                <w:rFonts w:ascii="Times New Roman" w:hAnsi="Times New Roman"/>
                <w:sz w:val="18"/>
              </w:rPr>
              <w:t>Amortización relativa del saldo</w:t>
            </w:r>
          </w:p>
        </w:tc>
      </w:tr>
      <w:tr>
        <w:tc>
          <w:tcPr>
            <w:tcW w:type="dxa" w:w="3041"/>
            <w:shd w:val="clear" w:color="auto" w:fill="E8F0FE"/>
          </w:tcPr>
          <w:p>
            <w:r>
              <w:rPr>
                <w:rFonts w:ascii="Times New Roman" w:hAnsi="Times New Roman"/>
                <w:sz w:val="18"/>
              </w:rPr>
              <w:t>fue_modificado</w:t>
            </w:r>
          </w:p>
        </w:tc>
        <w:tc>
          <w:tcPr>
            <w:tcW w:type="dxa" w:w="3041"/>
            <w:shd w:val="clear" w:color="auto" w:fill="E8F0FE"/>
          </w:tcPr>
          <w:p>
            <w:r>
              <w:rPr>
                <w:rFonts w:ascii="Times New Roman" w:hAnsi="Times New Roman"/>
                <w:sz w:val="18"/>
              </w:rPr>
              <w:t>Comportamiento</w:t>
            </w:r>
          </w:p>
        </w:tc>
        <w:tc>
          <w:tcPr>
            <w:tcW w:type="dxa" w:w="3041"/>
            <w:shd w:val="clear" w:color="auto" w:fill="E8F0FE"/>
          </w:tcPr>
          <w:p>
            <w:r>
              <w:rPr>
                <w:rFonts w:ascii="Times New Roman" w:hAnsi="Times New Roman"/>
                <w:sz w:val="18"/>
              </w:rPr>
              <w:t>Flag: préstamo modificado (binario)</w:t>
            </w:r>
          </w:p>
        </w:tc>
      </w:tr>
      <w:tr>
        <w:tc>
          <w:tcPr>
            <w:tcW w:type="dxa" w:w="3041"/>
            <w:shd w:val="clear" w:color="auto" w:fill="FFFFFF"/>
          </w:tcPr>
          <w:p>
            <w:r>
              <w:rPr>
                <w:rFonts w:ascii="Times New Roman" w:hAnsi="Times New Roman"/>
                <w:sz w:val="18"/>
              </w:rPr>
              <w:t>tiene_deferral</w:t>
            </w:r>
          </w:p>
        </w:tc>
        <w:tc>
          <w:tcPr>
            <w:tcW w:type="dxa" w:w="3041"/>
            <w:shd w:val="clear" w:color="auto" w:fill="FFFFFF"/>
          </w:tcPr>
          <w:p>
            <w:r>
              <w:rPr>
                <w:rFonts w:ascii="Times New Roman" w:hAnsi="Times New Roman"/>
                <w:sz w:val="18"/>
              </w:rPr>
              <w:t>Comportamiento</w:t>
            </w:r>
          </w:p>
        </w:tc>
        <w:tc>
          <w:tcPr>
            <w:tcW w:type="dxa" w:w="3041"/>
            <w:shd w:val="clear" w:color="auto" w:fill="FFFFFF"/>
          </w:tcPr>
          <w:p>
            <w:r>
              <w:rPr>
                <w:rFonts w:ascii="Times New Roman" w:hAnsi="Times New Roman"/>
                <w:sz w:val="18"/>
              </w:rPr>
              <w:t>Flag: diferimiento de pagos (binario)</w:t>
            </w:r>
          </w:p>
        </w:tc>
      </w:tr>
    </w:tbl>
    <w:p/>
    <w:p>
      <w:pPr>
        <w:spacing w:before="0" w:after="120" w:line="360" w:lineRule="exact"/>
        <w:jc w:val="both"/>
      </w:pPr>
      <w:r>
        <w:rPr>
          <w:rFonts w:ascii="Times New Roman" w:hAnsi="Times New Roman"/>
          <w:b w:val="0"/>
          <w:i w:val="0"/>
          <w:sz w:val="24"/>
        </w:rPr>
        <w:t>El dataset de modelado (Stage 1 y 2 únicamente) contiene 14,481,471 observaciones, con una tasa de default a 12 meses de 1.2193%.</w:t>
      </w:r>
    </w:p>
    <w:p>
      <w:r>
        <w:br w:type="page"/>
      </w:r>
    </w:p>
    <w:p>
      <w:pPr>
        <w:pStyle w:val="Heading1"/>
        <w:jc w:val="left"/>
      </w:pPr>
      <w:r>
        <w:rPr>
          <w:rFonts w:ascii="Times New Roman" w:hAnsi="Times New Roman"/>
          <w:b/>
          <w:color w:val="000000"/>
          <w:sz w:val="28"/>
        </w:rPr>
        <w:t>8. Modelado – Entrenamiento y Comparación de Modelos PD</w:t>
      </w:r>
    </w:p>
    <w:p>
      <w:pPr>
        <w:spacing w:before="0" w:after="120" w:line="360" w:lineRule="exact"/>
        <w:jc w:val="both"/>
      </w:pPr>
      <w:r>
        <w:rPr>
          <w:rFonts w:ascii="Times New Roman" w:hAnsi="Times New Roman"/>
          <w:b w:val="0"/>
          <w:i w:val="0"/>
          <w:sz w:val="24"/>
        </w:rPr>
        <w:t>Se entrenan tres modelos bajo el esquema de validación temporal out-of-time:</w:t>
      </w:r>
    </w:p>
    <w:p>
      <w:pPr>
        <w:pStyle w:val="ListBullet"/>
      </w:pPr>
      <w:r>
        <w:rPr>
          <w:rFonts w:ascii="Times New Roman" w:hAnsi="Times New Roman"/>
          <w:b/>
          <w:i w:val="0"/>
          <w:sz w:val="22"/>
        </w:rPr>
        <w:t xml:space="preserve">Regresión Logística: </w:t>
      </w:r>
      <w:r>
        <w:rPr>
          <w:rFonts w:ascii="Times New Roman" w:hAnsi="Times New Roman"/>
          <w:b w:val="0"/>
          <w:i w:val="0"/>
          <w:sz w:val="22"/>
        </w:rPr>
        <w:t>Modelo regulatorio de referencia. Interpretable y requerido por las guías EBA para auditoría.</w:t>
      </w:r>
    </w:p>
    <w:p>
      <w:pPr>
        <w:pStyle w:val="ListBullet"/>
      </w:pPr>
      <w:r>
        <w:rPr>
          <w:rFonts w:ascii="Times New Roman" w:hAnsi="Times New Roman"/>
          <w:b/>
          <w:i w:val="0"/>
          <w:sz w:val="22"/>
        </w:rPr>
        <w:t xml:space="preserve">XGBoost: </w:t>
      </w:r>
      <w:r>
        <w:rPr>
          <w:rFonts w:ascii="Times New Roman" w:hAnsi="Times New Roman"/>
          <w:b w:val="0"/>
          <w:i w:val="0"/>
          <w:sz w:val="22"/>
        </w:rPr>
        <w:t>Gradient Boosting Machine. Captura no linealidades y efectos de interacción. Modelo principal.</w:t>
      </w:r>
    </w:p>
    <w:p>
      <w:pPr>
        <w:pStyle w:val="ListBullet"/>
      </w:pPr>
      <w:r>
        <w:rPr>
          <w:rFonts w:ascii="Times New Roman" w:hAnsi="Times New Roman"/>
          <w:b/>
          <w:i w:val="0"/>
          <w:sz w:val="22"/>
        </w:rPr>
        <w:t xml:space="preserve">Random Forest: </w:t>
      </w:r>
      <w:r>
        <w:rPr>
          <w:rFonts w:ascii="Times New Roman" w:hAnsi="Times New Roman"/>
          <w:b w:val="0"/>
          <w:i w:val="0"/>
          <w:sz w:val="22"/>
        </w:rPr>
        <w:t>Ensemble de árboles de decisión. Reduce varianza y sirve como validación cruzada del XGBoost.</w:t>
      </w:r>
    </w:p>
    <w:p>
      <w:pPr>
        <w:spacing w:before="0" w:after="120" w:line="360" w:lineRule="exact"/>
        <w:jc w:val="both"/>
      </w:pPr>
      <w:r>
        <w:rPr>
          <w:rFonts w:ascii="Times New Roman" w:hAnsi="Times New Roman"/>
          <w:b w:val="0"/>
          <w:i w:val="0"/>
          <w:sz w:val="24"/>
        </w:rPr>
        <w:t>La partición temporal es: Entrenamiento (vintages 2016–2020), Validación (2022–2023), Test (2024). El vintage 2021 no está disponible en el dataset descargado.</w:t>
      </w:r>
    </w:p>
    <w:p>
      <w:pPr>
        <w:pStyle w:val="Heading2"/>
        <w:jc w:val="left"/>
      </w:pPr>
      <w:r>
        <w:rPr>
          <w:rFonts w:ascii="Times New Roman" w:hAnsi="Times New Roman"/>
          <w:b/>
          <w:color w:val="000000"/>
          <w:sz w:val="26"/>
        </w:rPr>
        <w:t>8.1 Resultados Comparativos</w:t>
      </w:r>
    </w:p>
    <w:p>
      <w:pPr>
        <w:jc w:val="center"/>
      </w:pPr>
      <w:r>
        <w:rPr>
          <w:rFonts w:ascii="Times New Roman" w:hAnsi="Times New Roman"/>
          <w:b w:val="0"/>
          <w:i/>
          <w:sz w:val="20"/>
        </w:rPr>
        <w:t>Tabla 4. Métricas comparativas de modelos – conjunto de test (vintage 2024)</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r>
              <w:rPr>
                <w:rFonts w:ascii="Times New Roman" w:hAnsi="Times New Roman"/>
                <w:b/>
                <w:color w:val="FFFFFF"/>
                <w:sz w:val="18"/>
              </w:rPr>
              <w:t>Modelo</w:t>
            </w:r>
          </w:p>
        </w:tc>
        <w:tc>
          <w:tcPr>
            <w:tcW w:type="dxa" w:w="1303"/>
            <w:shd w:val="clear" w:color="auto" w:fill="1F4E79"/>
          </w:tcPr>
          <w:p>
            <w:r>
              <w:rPr>
                <w:rFonts w:ascii="Times New Roman" w:hAnsi="Times New Roman"/>
                <w:b/>
                <w:color w:val="FFFFFF"/>
                <w:sz w:val="18"/>
              </w:rPr>
              <w:t>AUC_val</w:t>
            </w:r>
          </w:p>
        </w:tc>
        <w:tc>
          <w:tcPr>
            <w:tcW w:type="dxa" w:w="1303"/>
            <w:shd w:val="clear" w:color="auto" w:fill="1F4E79"/>
          </w:tcPr>
          <w:p>
            <w:r>
              <w:rPr>
                <w:rFonts w:ascii="Times New Roman" w:hAnsi="Times New Roman"/>
                <w:b/>
                <w:color w:val="FFFFFF"/>
                <w:sz w:val="18"/>
              </w:rPr>
              <w:t>Gini_val</w:t>
            </w:r>
          </w:p>
        </w:tc>
        <w:tc>
          <w:tcPr>
            <w:tcW w:type="dxa" w:w="1303"/>
            <w:shd w:val="clear" w:color="auto" w:fill="1F4E79"/>
          </w:tcPr>
          <w:p>
            <w:r>
              <w:rPr>
                <w:rFonts w:ascii="Times New Roman" w:hAnsi="Times New Roman"/>
                <w:b/>
                <w:color w:val="FFFFFF"/>
                <w:sz w:val="18"/>
              </w:rPr>
              <w:t>Brier_val</w:t>
            </w:r>
          </w:p>
        </w:tc>
        <w:tc>
          <w:tcPr>
            <w:tcW w:type="dxa" w:w="1303"/>
            <w:shd w:val="clear" w:color="auto" w:fill="1F4E79"/>
          </w:tcPr>
          <w:p>
            <w:r>
              <w:rPr>
                <w:rFonts w:ascii="Times New Roman" w:hAnsi="Times New Roman"/>
                <w:b/>
                <w:color w:val="FFFFFF"/>
                <w:sz w:val="18"/>
              </w:rPr>
              <w:t>AUC_test</w:t>
            </w:r>
          </w:p>
        </w:tc>
        <w:tc>
          <w:tcPr>
            <w:tcW w:type="dxa" w:w="1303"/>
            <w:shd w:val="clear" w:color="auto" w:fill="1F4E79"/>
          </w:tcPr>
          <w:p>
            <w:r>
              <w:rPr>
                <w:rFonts w:ascii="Times New Roman" w:hAnsi="Times New Roman"/>
                <w:b/>
                <w:color w:val="FFFFFF"/>
                <w:sz w:val="18"/>
              </w:rPr>
              <w:t>Gini_test</w:t>
            </w:r>
          </w:p>
        </w:tc>
        <w:tc>
          <w:tcPr>
            <w:tcW w:type="dxa" w:w="1303"/>
            <w:shd w:val="clear" w:color="auto" w:fill="1F4E79"/>
          </w:tcPr>
          <w:p>
            <w:r>
              <w:rPr>
                <w:rFonts w:ascii="Times New Roman" w:hAnsi="Times New Roman"/>
                <w:b/>
                <w:color w:val="FFFFFF"/>
                <w:sz w:val="18"/>
              </w:rPr>
              <w:t>Brier_test</w:t>
            </w:r>
          </w:p>
        </w:tc>
      </w:tr>
      <w:tr>
        <w:tc>
          <w:tcPr>
            <w:tcW w:type="dxa" w:w="1303"/>
            <w:shd w:val="clear" w:color="auto" w:fill="FFFFFF"/>
          </w:tcPr>
          <w:p>
            <w:r>
              <w:rPr>
                <w:rFonts w:ascii="Times New Roman" w:hAnsi="Times New Roman"/>
                <w:sz w:val="18"/>
              </w:rPr>
              <w:t>Logistica</w:t>
            </w:r>
          </w:p>
        </w:tc>
        <w:tc>
          <w:tcPr>
            <w:tcW w:type="dxa" w:w="1303"/>
            <w:shd w:val="clear" w:color="auto" w:fill="FFFFFF"/>
          </w:tcPr>
          <w:p>
            <w:r>
              <w:rPr>
                <w:rFonts w:ascii="Times New Roman" w:hAnsi="Times New Roman"/>
                <w:sz w:val="18"/>
              </w:rPr>
              <w:t>0.8581</w:t>
            </w:r>
          </w:p>
        </w:tc>
        <w:tc>
          <w:tcPr>
            <w:tcW w:type="dxa" w:w="1303"/>
            <w:shd w:val="clear" w:color="auto" w:fill="FFFFFF"/>
          </w:tcPr>
          <w:p>
            <w:r>
              <w:rPr>
                <w:rFonts w:ascii="Times New Roman" w:hAnsi="Times New Roman"/>
                <w:sz w:val="18"/>
              </w:rPr>
              <w:t>0.7162</w:t>
            </w:r>
          </w:p>
        </w:tc>
        <w:tc>
          <w:tcPr>
            <w:tcW w:type="dxa" w:w="1303"/>
            <w:shd w:val="clear" w:color="auto" w:fill="FFFFFF"/>
          </w:tcPr>
          <w:p>
            <w:r>
              <w:rPr>
                <w:rFonts w:ascii="Times New Roman" w:hAnsi="Times New Roman"/>
                <w:sz w:val="18"/>
              </w:rPr>
              <w:t>0.0076</w:t>
            </w:r>
          </w:p>
        </w:tc>
        <w:tc>
          <w:tcPr>
            <w:tcW w:type="dxa" w:w="1303"/>
            <w:shd w:val="clear" w:color="auto" w:fill="FFFFFF"/>
          </w:tcPr>
          <w:p>
            <w:r>
              <w:rPr>
                <w:rFonts w:ascii="Times New Roman" w:hAnsi="Times New Roman"/>
                <w:sz w:val="18"/>
              </w:rPr>
              <w:t>0.8647</w:t>
            </w:r>
          </w:p>
        </w:tc>
        <w:tc>
          <w:tcPr>
            <w:tcW w:type="dxa" w:w="1303"/>
            <w:shd w:val="clear" w:color="auto" w:fill="FFFFFF"/>
          </w:tcPr>
          <w:p>
            <w:r>
              <w:rPr>
                <w:rFonts w:ascii="Times New Roman" w:hAnsi="Times New Roman"/>
                <w:sz w:val="18"/>
              </w:rPr>
              <w:t>0.7295</w:t>
            </w:r>
          </w:p>
        </w:tc>
        <w:tc>
          <w:tcPr>
            <w:tcW w:type="dxa" w:w="1303"/>
            <w:shd w:val="clear" w:color="auto" w:fill="FFFFFF"/>
          </w:tcPr>
          <w:p>
            <w:r>
              <w:rPr>
                <w:rFonts w:ascii="Times New Roman" w:hAnsi="Times New Roman"/>
                <w:sz w:val="18"/>
              </w:rPr>
              <w:t>0.0028</w:t>
            </w:r>
          </w:p>
        </w:tc>
      </w:tr>
      <w:tr>
        <w:tc>
          <w:tcPr>
            <w:tcW w:type="dxa" w:w="1303"/>
            <w:shd w:val="clear" w:color="auto" w:fill="E8F0FE"/>
          </w:tcPr>
          <w:p>
            <w:r>
              <w:rPr>
                <w:rFonts w:ascii="Times New Roman" w:hAnsi="Times New Roman"/>
                <w:sz w:val="18"/>
              </w:rPr>
              <w:t>XGBoost</w:t>
            </w:r>
          </w:p>
        </w:tc>
        <w:tc>
          <w:tcPr>
            <w:tcW w:type="dxa" w:w="1303"/>
            <w:shd w:val="clear" w:color="auto" w:fill="E8F0FE"/>
          </w:tcPr>
          <w:p>
            <w:r>
              <w:rPr>
                <w:rFonts w:ascii="Times New Roman" w:hAnsi="Times New Roman"/>
                <w:sz w:val="18"/>
              </w:rPr>
              <w:t>0.8639</w:t>
            </w:r>
          </w:p>
        </w:tc>
        <w:tc>
          <w:tcPr>
            <w:tcW w:type="dxa" w:w="1303"/>
            <w:shd w:val="clear" w:color="auto" w:fill="E8F0FE"/>
          </w:tcPr>
          <w:p>
            <w:r>
              <w:rPr>
                <w:rFonts w:ascii="Times New Roman" w:hAnsi="Times New Roman"/>
                <w:sz w:val="18"/>
              </w:rPr>
              <w:t>0.7278</w:t>
            </w:r>
          </w:p>
        </w:tc>
        <w:tc>
          <w:tcPr>
            <w:tcW w:type="dxa" w:w="1303"/>
            <w:shd w:val="clear" w:color="auto" w:fill="E8F0FE"/>
          </w:tcPr>
          <w:p>
            <w:r>
              <w:rPr>
                <w:rFonts w:ascii="Times New Roman" w:hAnsi="Times New Roman"/>
                <w:sz w:val="18"/>
              </w:rPr>
              <w:t>0.0075</w:t>
            </w:r>
          </w:p>
        </w:tc>
        <w:tc>
          <w:tcPr>
            <w:tcW w:type="dxa" w:w="1303"/>
            <w:shd w:val="clear" w:color="auto" w:fill="E8F0FE"/>
          </w:tcPr>
          <w:p>
            <w:r>
              <w:rPr>
                <w:rFonts w:ascii="Times New Roman" w:hAnsi="Times New Roman"/>
                <w:sz w:val="18"/>
              </w:rPr>
              <w:t>0.8540</w:t>
            </w:r>
          </w:p>
        </w:tc>
        <w:tc>
          <w:tcPr>
            <w:tcW w:type="dxa" w:w="1303"/>
            <w:shd w:val="clear" w:color="auto" w:fill="E8F0FE"/>
          </w:tcPr>
          <w:p>
            <w:r>
              <w:rPr>
                <w:rFonts w:ascii="Times New Roman" w:hAnsi="Times New Roman"/>
                <w:sz w:val="18"/>
              </w:rPr>
              <w:t>0.7080</w:t>
            </w:r>
          </w:p>
        </w:tc>
        <w:tc>
          <w:tcPr>
            <w:tcW w:type="dxa" w:w="1303"/>
            <w:shd w:val="clear" w:color="auto" w:fill="E8F0FE"/>
          </w:tcPr>
          <w:p>
            <w:r>
              <w:rPr>
                <w:rFonts w:ascii="Times New Roman" w:hAnsi="Times New Roman"/>
                <w:sz w:val="18"/>
              </w:rPr>
              <w:t>0.0028</w:t>
            </w:r>
          </w:p>
        </w:tc>
      </w:tr>
      <w:tr>
        <w:tc>
          <w:tcPr>
            <w:tcW w:type="dxa" w:w="1303"/>
            <w:shd w:val="clear" w:color="auto" w:fill="FFFFFF"/>
          </w:tcPr>
          <w:p>
            <w:r>
              <w:rPr>
                <w:rFonts w:ascii="Times New Roman" w:hAnsi="Times New Roman"/>
                <w:sz w:val="18"/>
              </w:rPr>
              <w:t>Random_Forest</w:t>
            </w:r>
          </w:p>
        </w:tc>
        <w:tc>
          <w:tcPr>
            <w:tcW w:type="dxa" w:w="1303"/>
            <w:shd w:val="clear" w:color="auto" w:fill="FFFFFF"/>
          </w:tcPr>
          <w:p>
            <w:r>
              <w:rPr>
                <w:rFonts w:ascii="Times New Roman" w:hAnsi="Times New Roman"/>
                <w:sz w:val="18"/>
              </w:rPr>
              <w:t>0.8585</w:t>
            </w:r>
          </w:p>
        </w:tc>
        <w:tc>
          <w:tcPr>
            <w:tcW w:type="dxa" w:w="1303"/>
            <w:shd w:val="clear" w:color="auto" w:fill="FFFFFF"/>
          </w:tcPr>
          <w:p>
            <w:r>
              <w:rPr>
                <w:rFonts w:ascii="Times New Roman" w:hAnsi="Times New Roman"/>
                <w:sz w:val="18"/>
              </w:rPr>
              <w:t>0.7169</w:t>
            </w:r>
          </w:p>
        </w:tc>
        <w:tc>
          <w:tcPr>
            <w:tcW w:type="dxa" w:w="1303"/>
            <w:shd w:val="clear" w:color="auto" w:fill="FFFFFF"/>
          </w:tcPr>
          <w:p>
            <w:r>
              <w:rPr>
                <w:rFonts w:ascii="Times New Roman" w:hAnsi="Times New Roman"/>
                <w:sz w:val="18"/>
              </w:rPr>
              <w:t>0.0076</w:t>
            </w:r>
          </w:p>
        </w:tc>
        <w:tc>
          <w:tcPr>
            <w:tcW w:type="dxa" w:w="1303"/>
            <w:shd w:val="clear" w:color="auto" w:fill="FFFFFF"/>
          </w:tcPr>
          <w:p>
            <w:r>
              <w:rPr>
                <w:rFonts w:ascii="Times New Roman" w:hAnsi="Times New Roman"/>
                <w:sz w:val="18"/>
              </w:rPr>
              <w:t>0.8560</w:t>
            </w:r>
          </w:p>
        </w:tc>
        <w:tc>
          <w:tcPr>
            <w:tcW w:type="dxa" w:w="1303"/>
            <w:shd w:val="clear" w:color="auto" w:fill="FFFFFF"/>
          </w:tcPr>
          <w:p>
            <w:r>
              <w:rPr>
                <w:rFonts w:ascii="Times New Roman" w:hAnsi="Times New Roman"/>
                <w:sz w:val="18"/>
              </w:rPr>
              <w:t>0.7121</w:t>
            </w:r>
          </w:p>
        </w:tc>
        <w:tc>
          <w:tcPr>
            <w:tcW w:type="dxa" w:w="1303"/>
            <w:shd w:val="clear" w:color="auto" w:fill="FFFFFF"/>
          </w:tcPr>
          <w:p>
            <w:r>
              <w:rPr>
                <w:rFonts w:ascii="Times New Roman" w:hAnsi="Times New Roman"/>
                <w:sz w:val="18"/>
              </w:rPr>
              <w:t>0.0028</w:t>
            </w:r>
          </w:p>
        </w:tc>
      </w:tr>
    </w:tbl>
    <w:p/>
    <w:p>
      <w:pPr>
        <w:spacing w:before="0" w:after="120" w:line="360" w:lineRule="exact"/>
        <w:jc w:val="both"/>
      </w:pPr>
      <w:r>
        <w:rPr>
          <w:rFonts w:ascii="Times New Roman" w:hAnsi="Times New Roman"/>
          <w:b w:val="0"/>
          <w:i w:val="0"/>
          <w:sz w:val="24"/>
        </w:rPr>
        <w:t>El modelo Logistica obtiene el mejor desempeño en el conjunto de test, con AUC = 0.8647 y Gini = 0.7295. Todos los modelos superan el umbral mínimo regulatorio de Gini &gt; 0.25.</w:t>
      </w:r>
    </w:p>
    <w:p>
      <w:r>
        <w:br w:type="page"/>
      </w:r>
    </w:p>
    <w:p>
      <w:pPr>
        <w:pStyle w:val="Heading1"/>
        <w:jc w:val="left"/>
      </w:pPr>
      <w:r>
        <w:rPr>
          <w:rFonts w:ascii="Times New Roman" w:hAnsi="Times New Roman"/>
          <w:b/>
          <w:color w:val="000000"/>
          <w:sz w:val="28"/>
        </w:rPr>
        <w:t>9. Calibración PIT y Curva Lifetime PD</w:t>
      </w:r>
    </w:p>
    <w:p>
      <w:pPr>
        <w:spacing w:before="0" w:after="120" w:line="360" w:lineRule="exact"/>
        <w:jc w:val="both"/>
      </w:pPr>
      <w:r>
        <w:rPr>
          <w:rFonts w:ascii="Times New Roman" w:hAnsi="Times New Roman"/>
          <w:b w:val="0"/>
          <w:i w:val="0"/>
          <w:sz w:val="24"/>
        </w:rPr>
        <w:t>El modelo XGBoost es calibrado mediante Regresión Isotónica para asegurar que las probabilidades predichas estén correctamente calibradas (PD observada ≈ PD predicha). La Lifetime PD se calcula aplicando el enfoque de supervivencia:</w:t>
      </w:r>
    </w:p>
    <w:p>
      <w:pPr>
        <w:spacing w:before="80" w:after="80"/>
        <w:ind w:left="567"/>
        <w:shd w:val="clear" w:color="auto" w:fill="F2F2F2"/>
      </w:pPr>
      <w:r>
        <w:rPr>
          <w:rFonts w:ascii="Courier New" w:hAnsi="Courier New"/>
          <w:sz w:val="18"/>
        </w:rPr>
        <w:t># Lifetime PD usando enfoque de supervivencia</w:t>
        <w:br/>
        <w:t># pd_marginal_t: PD a 12m promedio para préstamos de edad t</w:t>
        <w:br/>
        <w:t>supervivencia_t = ∏(1 - pd_marginal_s)  para s=1 hasta t</w:t>
        <w:br/>
        <w:t>Lifetime_PD_t   = 1 - supervivencia_t</w:t>
        <w:br/>
        <w:br/>
        <w:t># IFRS 9 ECL por stage:</w:t>
        <w:br/>
        <w:t># Stage 1: ECL_12m  = PD_12m × LGD × EAD</w:t>
        <w:br/>
        <w:t># Stage 2: ECL_life = PD_lifetime × LGD × EAD</w:t>
      </w:r>
    </w:p>
    <w:p>
      <w:pPr>
        <w:jc w:val="center"/>
      </w:pPr>
      <w:r>
        <w:drawing>
          <wp:inline xmlns:a="http://schemas.openxmlformats.org/drawingml/2006/main" xmlns:pic="http://schemas.openxmlformats.org/drawingml/2006/picture">
            <wp:extent cx="5040000" cy="2096934"/>
            <wp:docPr id="7" name="Picture 7"/>
            <wp:cNvGraphicFramePr>
              <a:graphicFrameLocks noChangeAspect="1"/>
            </wp:cNvGraphicFramePr>
            <a:graphic>
              <a:graphicData uri="http://schemas.openxmlformats.org/drawingml/2006/picture">
                <pic:pic>
                  <pic:nvPicPr>
                    <pic:cNvPr id="0" name="curva_pd_lifetime.png"/>
                    <pic:cNvPicPr/>
                  </pic:nvPicPr>
                  <pic:blipFill>
                    <a:blip r:embed="rId15"/>
                    <a:stretch>
                      <a:fillRect/>
                    </a:stretch>
                  </pic:blipFill>
                  <pic:spPr>
                    <a:xfrm>
                      <a:off x="0" y="0"/>
                      <a:ext cx="5040000" cy="2096934"/>
                    </a:xfrm>
                    <a:prstGeom prst="rect"/>
                  </pic:spPr>
                </pic:pic>
              </a:graphicData>
            </a:graphic>
          </wp:inline>
        </w:drawing>
      </w:r>
    </w:p>
    <w:p>
      <w:pPr>
        <w:jc w:val="center"/>
      </w:pPr>
      <w:r>
        <w:rPr>
          <w:rFonts w:ascii="Times New Roman" w:hAnsi="Times New Roman"/>
          <w:b w:val="0"/>
          <w:i/>
          <w:sz w:val="20"/>
        </w:rPr>
        <w:t>Figura 7. Curva de PD marginal y Lifetime PD acumulada por antigüedad del préstamo.</w:t>
      </w:r>
    </w:p>
    <w:p/>
    <w:p>
      <w:pPr>
        <w:jc w:val="center"/>
      </w:pPr>
      <w:r>
        <w:rPr>
          <w:rFonts w:ascii="Times New Roman" w:hAnsi="Times New Roman"/>
          <w:b w:val="0"/>
          <w:i/>
          <w:sz w:val="20"/>
        </w:rPr>
        <w:t>Tabla 5. Puntos de referencia de la curva Lifetime PD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rFonts w:ascii="Times New Roman" w:hAnsi="Times New Roman"/>
                <w:b/>
                <w:color w:val="FFFFFF"/>
                <w:sz w:val="18"/>
              </w:rPr>
              <w:t>loan_age</w:t>
            </w:r>
          </w:p>
        </w:tc>
        <w:tc>
          <w:tcPr>
            <w:tcW w:type="dxa" w:w="3041"/>
            <w:shd w:val="clear" w:color="auto" w:fill="1F4E79"/>
          </w:tcPr>
          <w:p>
            <w:r>
              <w:rPr>
                <w:rFonts w:ascii="Times New Roman" w:hAnsi="Times New Roman"/>
                <w:b/>
                <w:color w:val="FFFFFF"/>
                <w:sz w:val="18"/>
              </w:rPr>
              <w:t>pd_marginal</w:t>
            </w:r>
          </w:p>
        </w:tc>
        <w:tc>
          <w:tcPr>
            <w:tcW w:type="dxa" w:w="3041"/>
            <w:shd w:val="clear" w:color="auto" w:fill="1F4E79"/>
          </w:tcPr>
          <w:p>
            <w:r>
              <w:rPr>
                <w:rFonts w:ascii="Times New Roman" w:hAnsi="Times New Roman"/>
                <w:b/>
                <w:color w:val="FFFFFF"/>
                <w:sz w:val="18"/>
              </w:rPr>
              <w:t>pd_lifetime_acum</w:t>
            </w:r>
          </w:p>
        </w:tc>
      </w:tr>
      <w:tr>
        <w:tc>
          <w:tcPr>
            <w:tcW w:type="dxa" w:w="3041"/>
            <w:shd w:val="clear" w:color="auto" w:fill="FFFFFF"/>
          </w:tcPr>
          <w:p>
            <w:r>
              <w:rPr>
                <w:rFonts w:ascii="Times New Roman" w:hAnsi="Times New Roman"/>
                <w:sz w:val="18"/>
              </w:rPr>
              <w:t>12</w:t>
            </w:r>
          </w:p>
        </w:tc>
        <w:tc>
          <w:tcPr>
            <w:tcW w:type="dxa" w:w="3041"/>
            <w:shd w:val="clear" w:color="auto" w:fill="FFFFFF"/>
          </w:tcPr>
          <w:p>
            <w:r>
              <w:rPr>
                <w:rFonts w:ascii="Times New Roman" w:hAnsi="Times New Roman"/>
                <w:sz w:val="18"/>
              </w:rPr>
              <w:t>0.8092%</w:t>
            </w:r>
          </w:p>
        </w:tc>
        <w:tc>
          <w:tcPr>
            <w:tcW w:type="dxa" w:w="3041"/>
            <w:shd w:val="clear" w:color="auto" w:fill="FFFFFF"/>
          </w:tcPr>
          <w:p>
            <w:r>
              <w:rPr>
                <w:rFonts w:ascii="Times New Roman" w:hAnsi="Times New Roman"/>
                <w:sz w:val="18"/>
              </w:rPr>
              <w:t>8.8750%</w:t>
            </w:r>
          </w:p>
        </w:tc>
      </w:tr>
      <w:tr>
        <w:tc>
          <w:tcPr>
            <w:tcW w:type="dxa" w:w="3041"/>
            <w:shd w:val="clear" w:color="auto" w:fill="E8F0FE"/>
          </w:tcPr>
          <w:p>
            <w:r>
              <w:rPr>
                <w:rFonts w:ascii="Times New Roman" w:hAnsi="Times New Roman"/>
                <w:sz w:val="18"/>
              </w:rPr>
              <w:t>24</w:t>
            </w:r>
          </w:p>
        </w:tc>
        <w:tc>
          <w:tcPr>
            <w:tcW w:type="dxa" w:w="3041"/>
            <w:shd w:val="clear" w:color="auto" w:fill="E8F0FE"/>
          </w:tcPr>
          <w:p>
            <w:r>
              <w:rPr>
                <w:rFonts w:ascii="Times New Roman" w:hAnsi="Times New Roman"/>
                <w:sz w:val="18"/>
              </w:rPr>
              <w:t>0.8765%</w:t>
            </w:r>
          </w:p>
        </w:tc>
        <w:tc>
          <w:tcPr>
            <w:tcW w:type="dxa" w:w="3041"/>
            <w:shd w:val="clear" w:color="auto" w:fill="E8F0FE"/>
          </w:tcPr>
          <w:p>
            <w:r>
              <w:rPr>
                <w:rFonts w:ascii="Times New Roman" w:hAnsi="Times New Roman"/>
                <w:sz w:val="18"/>
              </w:rPr>
              <w:t>17.8120%</w:t>
            </w:r>
          </w:p>
        </w:tc>
      </w:tr>
      <w:tr>
        <w:tc>
          <w:tcPr>
            <w:tcW w:type="dxa" w:w="3041"/>
            <w:shd w:val="clear" w:color="auto" w:fill="FFFFFF"/>
          </w:tcPr>
          <w:p>
            <w:r>
              <w:rPr>
                <w:rFonts w:ascii="Times New Roman" w:hAnsi="Times New Roman"/>
                <w:sz w:val="18"/>
              </w:rPr>
              <w:t>36</w:t>
            </w:r>
          </w:p>
        </w:tc>
        <w:tc>
          <w:tcPr>
            <w:tcW w:type="dxa" w:w="3041"/>
            <w:shd w:val="clear" w:color="auto" w:fill="FFFFFF"/>
          </w:tcPr>
          <w:p>
            <w:r>
              <w:rPr>
                <w:rFonts w:ascii="Times New Roman" w:hAnsi="Times New Roman"/>
                <w:sz w:val="18"/>
              </w:rPr>
              <w:t>0.7508%</w:t>
            </w:r>
          </w:p>
        </w:tc>
        <w:tc>
          <w:tcPr>
            <w:tcW w:type="dxa" w:w="3041"/>
            <w:shd w:val="clear" w:color="auto" w:fill="FFFFFF"/>
          </w:tcPr>
          <w:p>
            <w:r>
              <w:rPr>
                <w:rFonts w:ascii="Times New Roman" w:hAnsi="Times New Roman"/>
                <w:sz w:val="18"/>
              </w:rPr>
              <w:t>25.6307%</w:t>
            </w:r>
          </w:p>
        </w:tc>
      </w:tr>
      <w:tr>
        <w:tc>
          <w:tcPr>
            <w:tcW w:type="dxa" w:w="3041"/>
            <w:shd w:val="clear" w:color="auto" w:fill="E8F0FE"/>
          </w:tcPr>
          <w:p>
            <w:r>
              <w:rPr>
                <w:rFonts w:ascii="Times New Roman" w:hAnsi="Times New Roman"/>
                <w:sz w:val="18"/>
              </w:rPr>
              <w:t>60</w:t>
            </w:r>
          </w:p>
        </w:tc>
        <w:tc>
          <w:tcPr>
            <w:tcW w:type="dxa" w:w="3041"/>
            <w:shd w:val="clear" w:color="auto" w:fill="E8F0FE"/>
          </w:tcPr>
          <w:p>
            <w:r>
              <w:rPr>
                <w:rFonts w:ascii="Times New Roman" w:hAnsi="Times New Roman"/>
                <w:sz w:val="18"/>
              </w:rPr>
              <w:t>0.4275%</w:t>
            </w:r>
          </w:p>
        </w:tc>
        <w:tc>
          <w:tcPr>
            <w:tcW w:type="dxa" w:w="3041"/>
            <w:shd w:val="clear" w:color="auto" w:fill="E8F0FE"/>
          </w:tcPr>
          <w:p>
            <w:r>
              <w:rPr>
                <w:rFonts w:ascii="Times New Roman" w:hAnsi="Times New Roman"/>
                <w:sz w:val="18"/>
              </w:rPr>
              <w:t>34.9928%</w:t>
            </w:r>
          </w:p>
        </w:tc>
      </w:tr>
    </w:tbl>
    <w:p/>
    <w:p>
      <w:r>
        <w:br w:type="page"/>
      </w:r>
    </w:p>
    <w:p>
      <w:pPr>
        <w:pStyle w:val="Heading1"/>
        <w:jc w:val="left"/>
      </w:pPr>
      <w:r>
        <w:rPr>
          <w:rFonts w:ascii="Times New Roman" w:hAnsi="Times New Roman"/>
          <w:b/>
          <w:color w:val="000000"/>
          <w:sz w:val="28"/>
        </w:rPr>
        <w:t>10. Validación Regulatoria del Modelo PD</w:t>
      </w:r>
    </w:p>
    <w:p>
      <w:pPr>
        <w:spacing w:before="0" w:after="120" w:line="360" w:lineRule="exact"/>
        <w:jc w:val="both"/>
      </w:pPr>
      <w:r>
        <w:rPr>
          <w:rFonts w:ascii="Times New Roman" w:hAnsi="Times New Roman"/>
          <w:b w:val="0"/>
          <w:i w:val="0"/>
          <w:sz w:val="24"/>
        </w:rPr>
        <w:t>La validación sigue las guías de la EBA sobre estimación de parámetros IFRS 9 e incluye métricas de discriminación, calibración y estabilidad:</w:t>
      </w:r>
    </w:p>
    <w:p>
      <w:pPr>
        <w:pStyle w:val="ListBullet"/>
      </w:pPr>
      <w:r>
        <w:rPr>
          <w:rFonts w:ascii="Times New Roman" w:hAnsi="Times New Roman"/>
          <w:b/>
          <w:i w:val="0"/>
          <w:sz w:val="22"/>
        </w:rPr>
        <w:t xml:space="preserve">AUC / Gini: </w:t>
      </w:r>
      <w:r>
        <w:rPr>
          <w:rFonts w:ascii="Times New Roman" w:hAnsi="Times New Roman"/>
          <w:b w:val="0"/>
          <w:i w:val="0"/>
          <w:sz w:val="22"/>
        </w:rPr>
        <w:t>Discriminación: capacidad de separar defaulters de no-defaulters. Gini &gt; 0.25 = aceptable; &gt; 0.50 = bueno; &gt; 0.70 = muy bueno.</w:t>
      </w:r>
    </w:p>
    <w:p>
      <w:pPr>
        <w:pStyle w:val="ListBullet"/>
      </w:pPr>
      <w:r>
        <w:rPr>
          <w:rFonts w:ascii="Times New Roman" w:hAnsi="Times New Roman"/>
          <w:b/>
          <w:i w:val="0"/>
          <w:sz w:val="22"/>
        </w:rPr>
        <w:t xml:space="preserve">KS: </w:t>
      </w:r>
      <w:r>
        <w:rPr>
          <w:rFonts w:ascii="Times New Roman" w:hAnsi="Times New Roman"/>
          <w:b w:val="0"/>
          <w:i w:val="0"/>
          <w:sz w:val="22"/>
        </w:rPr>
        <w:t>Estadístico Kolmogorov-Smirnov: máxima separación entre distribuciones. KS &gt; 0.30 = aceptable.</w:t>
      </w:r>
    </w:p>
    <w:p>
      <w:pPr>
        <w:pStyle w:val="ListBullet"/>
      </w:pPr>
      <w:r>
        <w:rPr>
          <w:rFonts w:ascii="Times New Roman" w:hAnsi="Times New Roman"/>
          <w:b/>
          <w:i w:val="0"/>
          <w:sz w:val="22"/>
        </w:rPr>
        <w:t xml:space="preserve">Brier Score: </w:t>
      </w:r>
      <w:r>
        <w:rPr>
          <w:rFonts w:ascii="Times New Roman" w:hAnsi="Times New Roman"/>
          <w:b w:val="0"/>
          <w:i w:val="0"/>
          <w:sz w:val="22"/>
        </w:rPr>
        <w:t>Calibración: error cuadrático de probabilidades. Menor = mejor.</w:t>
      </w:r>
    </w:p>
    <w:p>
      <w:pPr>
        <w:pStyle w:val="ListBullet"/>
      </w:pPr>
      <w:r>
        <w:rPr>
          <w:rFonts w:ascii="Times New Roman" w:hAnsi="Times New Roman"/>
          <w:b/>
          <w:i w:val="0"/>
          <w:sz w:val="22"/>
        </w:rPr>
        <w:t xml:space="preserve">PSI: </w:t>
      </w:r>
      <w:r>
        <w:rPr>
          <w:rFonts w:ascii="Times New Roman" w:hAnsi="Times New Roman"/>
          <w:b w:val="0"/>
          <w:i w:val="0"/>
          <w:sz w:val="22"/>
        </w:rPr>
        <w:t>Estabilidad: &lt; 0.10 estable; 0.10–0.25 monitorear; &gt; 0.25 inestable.</w:t>
      </w:r>
    </w:p>
    <w:p>
      <w:pPr>
        <w:pStyle w:val="ListBullet"/>
      </w:pPr>
      <w:r>
        <w:rPr>
          <w:rFonts w:ascii="Times New Roman" w:hAnsi="Times New Roman"/>
          <w:b/>
          <w:i w:val="0"/>
          <w:sz w:val="22"/>
        </w:rPr>
        <w:t xml:space="preserve">Hosmer-Lemeshow: </w:t>
      </w:r>
      <w:r>
        <w:rPr>
          <w:rFonts w:ascii="Times New Roman" w:hAnsi="Times New Roman"/>
          <w:b w:val="0"/>
          <w:i w:val="0"/>
          <w:sz w:val="22"/>
        </w:rPr>
        <w:t>Bondad de ajuste por deciles de riesgo. p-valor &gt; 0.05 = calibración OK.</w:t>
      </w:r>
    </w:p>
    <w:p>
      <w:pPr>
        <w:pStyle w:val="Heading2"/>
        <w:jc w:val="left"/>
      </w:pPr>
      <w:r>
        <w:rPr>
          <w:rFonts w:ascii="Times New Roman" w:hAnsi="Times New Roman"/>
          <w:b/>
          <w:color w:val="000000"/>
          <w:sz w:val="26"/>
        </w:rPr>
        <w:t>10.1 Resultados de Validación</w:t>
      </w:r>
    </w:p>
    <w:p>
      <w:pPr>
        <w:jc w:val="center"/>
      </w:pPr>
      <w:r>
        <w:rPr>
          <w:rFonts w:ascii="Times New Roman" w:hAnsi="Times New Roman"/>
          <w:b w:val="0"/>
          <w:i/>
          <w:sz w:val="20"/>
        </w:rPr>
        <w:t>Tabla 6. Métricas de validación regulatoria – conjunto de test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Pr>
                <w:rFonts w:ascii="Times New Roman" w:hAnsi="Times New Roman"/>
                <w:b/>
                <w:color w:val="FFFFFF"/>
                <w:sz w:val="18"/>
              </w:rPr>
              <w:t>Modelo</w:t>
            </w:r>
          </w:p>
        </w:tc>
        <w:tc>
          <w:tcPr>
            <w:tcW w:type="dxa" w:w="1140"/>
            <w:shd w:val="clear" w:color="auto" w:fill="1F4E79"/>
          </w:tcPr>
          <w:p>
            <w:r>
              <w:rPr>
                <w:rFonts w:ascii="Times New Roman" w:hAnsi="Times New Roman"/>
                <w:b/>
                <w:color w:val="FFFFFF"/>
                <w:sz w:val="18"/>
              </w:rPr>
              <w:t>AUC</w:t>
            </w:r>
          </w:p>
        </w:tc>
        <w:tc>
          <w:tcPr>
            <w:tcW w:type="dxa" w:w="1140"/>
            <w:shd w:val="clear" w:color="auto" w:fill="1F4E79"/>
          </w:tcPr>
          <w:p>
            <w:r>
              <w:rPr>
                <w:rFonts w:ascii="Times New Roman" w:hAnsi="Times New Roman"/>
                <w:b/>
                <w:color w:val="FFFFFF"/>
                <w:sz w:val="18"/>
              </w:rPr>
              <w:t>Gini</w:t>
            </w:r>
          </w:p>
        </w:tc>
        <w:tc>
          <w:tcPr>
            <w:tcW w:type="dxa" w:w="1140"/>
            <w:shd w:val="clear" w:color="auto" w:fill="1F4E79"/>
          </w:tcPr>
          <w:p>
            <w:r>
              <w:rPr>
                <w:rFonts w:ascii="Times New Roman" w:hAnsi="Times New Roman"/>
                <w:b/>
                <w:color w:val="FFFFFF"/>
                <w:sz w:val="18"/>
              </w:rPr>
              <w:t>KS</w:t>
            </w:r>
          </w:p>
        </w:tc>
        <w:tc>
          <w:tcPr>
            <w:tcW w:type="dxa" w:w="1140"/>
            <w:shd w:val="clear" w:color="auto" w:fill="1F4E79"/>
          </w:tcPr>
          <w:p>
            <w:r>
              <w:rPr>
                <w:rFonts w:ascii="Times New Roman" w:hAnsi="Times New Roman"/>
                <w:b/>
                <w:color w:val="FFFFFF"/>
                <w:sz w:val="18"/>
              </w:rPr>
              <w:t>Brier</w:t>
            </w:r>
          </w:p>
        </w:tc>
        <w:tc>
          <w:tcPr>
            <w:tcW w:type="dxa" w:w="1140"/>
            <w:shd w:val="clear" w:color="auto" w:fill="1F4E79"/>
          </w:tcPr>
          <w:p>
            <w:r>
              <w:rPr>
                <w:rFonts w:ascii="Times New Roman" w:hAnsi="Times New Roman"/>
                <w:b/>
                <w:color w:val="FFFFFF"/>
                <w:sz w:val="18"/>
              </w:rPr>
              <w:t>HL_pvalor</w:t>
            </w:r>
          </w:p>
        </w:tc>
        <w:tc>
          <w:tcPr>
            <w:tcW w:type="dxa" w:w="1140"/>
            <w:shd w:val="clear" w:color="auto" w:fill="1F4E79"/>
          </w:tcPr>
          <w:p>
            <w:r>
              <w:rPr>
                <w:rFonts w:ascii="Times New Roman" w:hAnsi="Times New Roman"/>
                <w:b/>
                <w:color w:val="FFFFFF"/>
                <w:sz w:val="18"/>
              </w:rPr>
              <w:t>PSI</w:t>
            </w:r>
          </w:p>
        </w:tc>
        <w:tc>
          <w:tcPr>
            <w:tcW w:type="dxa" w:w="1140"/>
            <w:shd w:val="clear" w:color="auto" w:fill="1F4E79"/>
          </w:tcPr>
          <w:p>
            <w:r>
              <w:rPr>
                <w:rFonts w:ascii="Times New Roman" w:hAnsi="Times New Roman"/>
                <w:b/>
                <w:color w:val="FFFFFF"/>
                <w:sz w:val="18"/>
              </w:rPr>
              <w:t>PSI_estado</w:t>
            </w:r>
          </w:p>
        </w:tc>
      </w:tr>
      <w:tr>
        <w:tc>
          <w:tcPr>
            <w:tcW w:type="dxa" w:w="1140"/>
            <w:shd w:val="clear" w:color="auto" w:fill="FFFFFF"/>
          </w:tcPr>
          <w:p>
            <w:r>
              <w:rPr>
                <w:rFonts w:ascii="Times New Roman" w:hAnsi="Times New Roman"/>
                <w:sz w:val="18"/>
              </w:rPr>
              <w:t>logistica</w:t>
            </w:r>
          </w:p>
        </w:tc>
        <w:tc>
          <w:tcPr>
            <w:tcW w:type="dxa" w:w="1140"/>
            <w:shd w:val="clear" w:color="auto" w:fill="FFFFFF"/>
          </w:tcPr>
          <w:p>
            <w:r>
              <w:rPr>
                <w:rFonts w:ascii="Times New Roman" w:hAnsi="Times New Roman"/>
                <w:sz w:val="18"/>
              </w:rPr>
              <w:t>0.8647</w:t>
            </w:r>
          </w:p>
        </w:tc>
        <w:tc>
          <w:tcPr>
            <w:tcW w:type="dxa" w:w="1140"/>
            <w:shd w:val="clear" w:color="auto" w:fill="FFFFFF"/>
          </w:tcPr>
          <w:p>
            <w:r>
              <w:rPr>
                <w:rFonts w:ascii="Times New Roman" w:hAnsi="Times New Roman"/>
                <w:sz w:val="18"/>
              </w:rPr>
              <w:t>0.7295</w:t>
            </w:r>
          </w:p>
        </w:tc>
        <w:tc>
          <w:tcPr>
            <w:tcW w:type="dxa" w:w="1140"/>
            <w:shd w:val="clear" w:color="auto" w:fill="FFFFFF"/>
          </w:tcPr>
          <w:p>
            <w:r>
              <w:rPr>
                <w:rFonts w:ascii="Times New Roman" w:hAnsi="Times New Roman"/>
                <w:sz w:val="18"/>
              </w:rPr>
              <w:t>0.5464</w:t>
            </w:r>
          </w:p>
        </w:tc>
        <w:tc>
          <w:tcPr>
            <w:tcW w:type="dxa" w:w="1140"/>
            <w:shd w:val="clear" w:color="auto" w:fill="FFFFFF"/>
          </w:tcPr>
          <w:p>
            <w:r>
              <w:rPr>
                <w:rFonts w:ascii="Times New Roman" w:hAnsi="Times New Roman"/>
                <w:sz w:val="18"/>
              </w:rPr>
              <w:t>0.0028</w:t>
            </w:r>
          </w:p>
        </w:tc>
        <w:tc>
          <w:tcPr>
            <w:tcW w:type="dxa" w:w="1140"/>
            <w:shd w:val="clear" w:color="auto" w:fill="FFFFFF"/>
          </w:tcPr>
          <w:p>
            <w:r>
              <w:rPr>
                <w:rFonts w:ascii="Times New Roman" w:hAnsi="Times New Roman"/>
                <w:sz w:val="18"/>
              </w:rPr>
              <w:t>0.0000</w:t>
            </w:r>
          </w:p>
        </w:tc>
        <w:tc>
          <w:tcPr>
            <w:tcW w:type="dxa" w:w="1140"/>
            <w:shd w:val="clear" w:color="auto" w:fill="FFFFFF"/>
          </w:tcPr>
          <w:p>
            <w:r>
              <w:rPr>
                <w:rFonts w:ascii="Times New Roman" w:hAnsi="Times New Roman"/>
                <w:sz w:val="18"/>
              </w:rPr>
              <w:t>0.2210</w:t>
            </w:r>
          </w:p>
        </w:tc>
        <w:tc>
          <w:tcPr>
            <w:tcW w:type="dxa" w:w="1140"/>
            <w:shd w:val="clear" w:color="auto" w:fill="FFFFFF"/>
          </w:tcPr>
          <w:p>
            <w:r>
              <w:rPr>
                <w:rFonts w:ascii="Times New Roman" w:hAnsi="Times New Roman"/>
                <w:sz w:val="18"/>
              </w:rPr>
              <w:t>monitorear</w:t>
            </w:r>
          </w:p>
        </w:tc>
      </w:tr>
      <w:tr>
        <w:tc>
          <w:tcPr>
            <w:tcW w:type="dxa" w:w="1140"/>
            <w:shd w:val="clear" w:color="auto" w:fill="E8F0FE"/>
          </w:tcPr>
          <w:p>
            <w:r>
              <w:rPr>
                <w:rFonts w:ascii="Times New Roman" w:hAnsi="Times New Roman"/>
                <w:sz w:val="18"/>
              </w:rPr>
              <w:t>xgboost</w:t>
            </w:r>
          </w:p>
        </w:tc>
        <w:tc>
          <w:tcPr>
            <w:tcW w:type="dxa" w:w="1140"/>
            <w:shd w:val="clear" w:color="auto" w:fill="E8F0FE"/>
          </w:tcPr>
          <w:p>
            <w:r>
              <w:rPr>
                <w:rFonts w:ascii="Times New Roman" w:hAnsi="Times New Roman"/>
                <w:sz w:val="18"/>
              </w:rPr>
              <w:t>0.8540</w:t>
            </w:r>
          </w:p>
        </w:tc>
        <w:tc>
          <w:tcPr>
            <w:tcW w:type="dxa" w:w="1140"/>
            <w:shd w:val="clear" w:color="auto" w:fill="E8F0FE"/>
          </w:tcPr>
          <w:p>
            <w:r>
              <w:rPr>
                <w:rFonts w:ascii="Times New Roman" w:hAnsi="Times New Roman"/>
                <w:sz w:val="18"/>
              </w:rPr>
              <w:t>0.7080</w:t>
            </w:r>
          </w:p>
        </w:tc>
        <w:tc>
          <w:tcPr>
            <w:tcW w:type="dxa" w:w="1140"/>
            <w:shd w:val="clear" w:color="auto" w:fill="E8F0FE"/>
          </w:tcPr>
          <w:p>
            <w:r>
              <w:rPr>
                <w:rFonts w:ascii="Times New Roman" w:hAnsi="Times New Roman"/>
                <w:sz w:val="18"/>
              </w:rPr>
              <w:t>0.5450</w:t>
            </w:r>
          </w:p>
        </w:tc>
        <w:tc>
          <w:tcPr>
            <w:tcW w:type="dxa" w:w="1140"/>
            <w:shd w:val="clear" w:color="auto" w:fill="E8F0FE"/>
          </w:tcPr>
          <w:p>
            <w:r>
              <w:rPr>
                <w:rFonts w:ascii="Times New Roman" w:hAnsi="Times New Roman"/>
                <w:sz w:val="18"/>
              </w:rPr>
              <w:t>0.0028</w:t>
            </w:r>
          </w:p>
        </w:tc>
        <w:tc>
          <w:tcPr>
            <w:tcW w:type="dxa" w:w="1140"/>
            <w:shd w:val="clear" w:color="auto" w:fill="E8F0FE"/>
          </w:tcPr>
          <w:p>
            <w:r>
              <w:rPr>
                <w:rFonts w:ascii="Times New Roman" w:hAnsi="Times New Roman"/>
                <w:sz w:val="18"/>
              </w:rPr>
              <w:t>0.0000</w:t>
            </w:r>
          </w:p>
        </w:tc>
        <w:tc>
          <w:tcPr>
            <w:tcW w:type="dxa" w:w="1140"/>
            <w:shd w:val="clear" w:color="auto" w:fill="E8F0FE"/>
          </w:tcPr>
          <w:p>
            <w:r>
              <w:rPr>
                <w:rFonts w:ascii="Times New Roman" w:hAnsi="Times New Roman"/>
                <w:sz w:val="18"/>
              </w:rPr>
              <w:t>0.3327</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random_forest</w:t>
            </w:r>
          </w:p>
        </w:tc>
        <w:tc>
          <w:tcPr>
            <w:tcW w:type="dxa" w:w="1140"/>
            <w:shd w:val="clear" w:color="auto" w:fill="FFFFFF"/>
          </w:tcPr>
          <w:p>
            <w:r>
              <w:rPr>
                <w:rFonts w:ascii="Times New Roman" w:hAnsi="Times New Roman"/>
                <w:sz w:val="18"/>
              </w:rPr>
              <w:t>0.8560</w:t>
            </w:r>
          </w:p>
        </w:tc>
        <w:tc>
          <w:tcPr>
            <w:tcW w:type="dxa" w:w="1140"/>
            <w:shd w:val="clear" w:color="auto" w:fill="FFFFFF"/>
          </w:tcPr>
          <w:p>
            <w:r>
              <w:rPr>
                <w:rFonts w:ascii="Times New Roman" w:hAnsi="Times New Roman"/>
                <w:sz w:val="18"/>
              </w:rPr>
              <w:t>0.7121</w:t>
            </w:r>
          </w:p>
        </w:tc>
        <w:tc>
          <w:tcPr>
            <w:tcW w:type="dxa" w:w="1140"/>
            <w:shd w:val="clear" w:color="auto" w:fill="FFFFFF"/>
          </w:tcPr>
          <w:p>
            <w:r>
              <w:rPr>
                <w:rFonts w:ascii="Times New Roman" w:hAnsi="Times New Roman"/>
                <w:sz w:val="18"/>
              </w:rPr>
              <w:t>0.5571</w:t>
            </w:r>
          </w:p>
        </w:tc>
        <w:tc>
          <w:tcPr>
            <w:tcW w:type="dxa" w:w="1140"/>
            <w:shd w:val="clear" w:color="auto" w:fill="FFFFFF"/>
          </w:tcPr>
          <w:p>
            <w:r>
              <w:rPr>
                <w:rFonts w:ascii="Times New Roman" w:hAnsi="Times New Roman"/>
                <w:sz w:val="18"/>
              </w:rPr>
              <w:t>0.0028</w:t>
            </w:r>
          </w:p>
        </w:tc>
        <w:tc>
          <w:tcPr>
            <w:tcW w:type="dxa" w:w="1140"/>
            <w:shd w:val="clear" w:color="auto" w:fill="FFFFFF"/>
          </w:tcPr>
          <w:p>
            <w:r>
              <w:rPr>
                <w:rFonts w:ascii="Times New Roman" w:hAnsi="Times New Roman"/>
                <w:sz w:val="18"/>
              </w:rPr>
              <w:t>0.0000</w:t>
            </w:r>
          </w:p>
        </w:tc>
        <w:tc>
          <w:tcPr>
            <w:tcW w:type="dxa" w:w="1140"/>
            <w:shd w:val="clear" w:color="auto" w:fill="FFFFFF"/>
          </w:tcPr>
          <w:p>
            <w:r>
              <w:rPr>
                <w:rFonts w:ascii="Times New Roman" w:hAnsi="Times New Roman"/>
                <w:sz w:val="18"/>
              </w:rPr>
              <w:t>0.3644</w:t>
            </w:r>
          </w:p>
        </w:tc>
        <w:tc>
          <w:tcPr>
            <w:tcW w:type="dxa" w:w="1140"/>
            <w:shd w:val="clear" w:color="auto" w:fill="FFFFFF"/>
          </w:tcPr>
          <w:p>
            <w:r>
              <w:rPr>
                <w:rFonts w:ascii="Times New Roman" w:hAnsi="Times New Roman"/>
                <w:sz w:val="18"/>
              </w:rPr>
              <w:t>INESTABLE</w:t>
            </w:r>
          </w:p>
        </w:tc>
      </w:tr>
    </w:tbl>
    <w:p/>
    <w:p>
      <w:pPr>
        <w:jc w:val="center"/>
      </w:pPr>
      <w:r>
        <w:drawing>
          <wp:inline xmlns:a="http://schemas.openxmlformats.org/drawingml/2006/main" xmlns:pic="http://schemas.openxmlformats.org/drawingml/2006/picture">
            <wp:extent cx="5040000" cy="4311620"/>
            <wp:docPr id="8" name="Picture 8"/>
            <wp:cNvGraphicFramePr>
              <a:graphicFrameLocks noChangeAspect="1"/>
            </wp:cNvGraphicFramePr>
            <a:graphic>
              <a:graphicData uri="http://schemas.openxmlformats.org/drawingml/2006/picture">
                <pic:pic>
                  <pic:nvPicPr>
                    <pic:cNvPr id="0" name="validacion_roc.png"/>
                    <pic:cNvPicPr/>
                  </pic:nvPicPr>
                  <pic:blipFill>
                    <a:blip r:embed="rId16"/>
                    <a:stretch>
                      <a:fillRect/>
                    </a:stretch>
                  </pic:blipFill>
                  <pic:spPr>
                    <a:xfrm>
                      <a:off x="0" y="0"/>
                      <a:ext cx="5040000" cy="4311620"/>
                    </a:xfrm>
                    <a:prstGeom prst="rect"/>
                  </pic:spPr>
                </pic:pic>
              </a:graphicData>
            </a:graphic>
          </wp:inline>
        </w:drawing>
      </w:r>
    </w:p>
    <w:p>
      <w:pPr>
        <w:jc w:val="center"/>
      </w:pPr>
      <w:r>
        <w:rPr>
          <w:rFonts w:ascii="Times New Roman" w:hAnsi="Times New Roman"/>
          <w:b w:val="0"/>
          <w:i/>
          <w:sz w:val="20"/>
        </w:rPr>
        <w:t>Figura 8. Curva ROC comparativa de los tres modelos.</w:t>
      </w:r>
    </w:p>
    <w:p/>
    <w:p>
      <w:pPr>
        <w:jc w:val="center"/>
      </w:pPr>
      <w:r>
        <w:drawing>
          <wp:inline xmlns:a="http://schemas.openxmlformats.org/drawingml/2006/main" xmlns:pic="http://schemas.openxmlformats.org/drawingml/2006/picture">
            <wp:extent cx="5040000" cy="1673976"/>
            <wp:docPr id="9" name="Picture 9"/>
            <wp:cNvGraphicFramePr>
              <a:graphicFrameLocks noChangeAspect="1"/>
            </wp:cNvGraphicFramePr>
            <a:graphic>
              <a:graphicData uri="http://schemas.openxmlformats.org/drawingml/2006/picture">
                <pic:pic>
                  <pic:nvPicPr>
                    <pic:cNvPr id="0" name="validacion_backtesting.png"/>
                    <pic:cNvPicPr/>
                  </pic:nvPicPr>
                  <pic:blipFill>
                    <a:blip r:embed="rId17"/>
                    <a:stretch>
                      <a:fillRect/>
                    </a:stretch>
                  </pic:blipFill>
                  <pic:spPr>
                    <a:xfrm>
                      <a:off x="0" y="0"/>
                      <a:ext cx="5040000" cy="1673976"/>
                    </a:xfrm>
                    <a:prstGeom prst="rect"/>
                  </pic:spPr>
                </pic:pic>
              </a:graphicData>
            </a:graphic>
          </wp:inline>
        </w:drawing>
      </w:r>
    </w:p>
    <w:p>
      <w:pPr>
        <w:jc w:val="center"/>
      </w:pPr>
      <w:r>
        <w:rPr>
          <w:rFonts w:ascii="Times New Roman" w:hAnsi="Times New Roman"/>
          <w:b w:val="0"/>
          <w:i/>
          <w:sz w:val="20"/>
        </w:rPr>
        <w:t>Figura 9. Backtesting por decil: PD predicha vs. observada.</w:t>
      </w:r>
    </w:p>
    <w:p/>
    <w:p>
      <w:r>
        <w:br w:type="page"/>
      </w:r>
    </w:p>
    <w:p>
      <w:pPr>
        <w:pStyle w:val="Heading1"/>
        <w:jc w:val="left"/>
      </w:pPr>
      <w:r>
        <w:rPr>
          <w:rFonts w:ascii="Times New Roman" w:hAnsi="Times New Roman"/>
          <w:b/>
          <w:color w:val="000000"/>
          <w:sz w:val="28"/>
        </w:rPr>
        <w:t>11. Explicabilidad del Modelo</w:t>
      </w:r>
    </w:p>
    <w:p>
      <w:pPr>
        <w:spacing w:before="0" w:after="120" w:line="360" w:lineRule="exact"/>
        <w:jc w:val="both"/>
      </w:pPr>
      <w:r>
        <w:rPr>
          <w:rFonts w:ascii="Times New Roman" w:hAnsi="Times New Roman"/>
          <w:b w:val="0"/>
          <w:i w:val="0"/>
          <w:sz w:val="24"/>
        </w:rPr>
        <w:t>Conforme a las guías de gobernanza de modelos IFRS 9 (EBA, 2022) y los principios del BCBS, el modelo debe ser comprensible, auditable y explicable. Se aplican herramientas SHAP (SHapley Additive exPlanations) en dos niveles:</w:t>
      </w:r>
    </w:p>
    <w:p>
      <w:pPr>
        <w:pStyle w:val="ListBullet"/>
      </w:pPr>
      <w:r>
        <w:rPr>
          <w:rFonts w:ascii="Times New Roman" w:hAnsi="Times New Roman"/>
          <w:b/>
          <w:i w:val="0"/>
          <w:sz w:val="22"/>
        </w:rPr>
        <w:t xml:space="preserve">Global: </w:t>
      </w:r>
      <w:r>
        <w:rPr>
          <w:rFonts w:ascii="Times New Roman" w:hAnsi="Times New Roman"/>
          <w:b w:val="0"/>
          <w:i w:val="0"/>
          <w:sz w:val="22"/>
        </w:rPr>
        <w:t>SHAP Summary Plot y Bar Plot: muestran qué variables tienen mayor impacto promedio sobre la PD estimada en toda la cartera.</w:t>
      </w:r>
    </w:p>
    <w:p>
      <w:pPr>
        <w:pStyle w:val="ListBullet"/>
      </w:pPr>
      <w:r>
        <w:rPr>
          <w:rFonts w:ascii="Times New Roman" w:hAnsi="Times New Roman"/>
          <w:b/>
          <w:i w:val="0"/>
          <w:sz w:val="22"/>
        </w:rPr>
        <w:t xml:space="preserve">Local: </w:t>
      </w:r>
      <w:r>
        <w:rPr>
          <w:rFonts w:ascii="Times New Roman" w:hAnsi="Times New Roman"/>
          <w:b w:val="0"/>
          <w:i w:val="0"/>
          <w:sz w:val="22"/>
        </w:rPr>
        <w:t>SHAP Waterfall Plot: explica la predicción individual de un préstamo específico, descomponiendo la PD en contribuciones de cada variable.</w:t>
      </w:r>
    </w:p>
    <w:p>
      <w:pPr>
        <w:jc w:val="center"/>
      </w:pPr>
      <w:r>
        <w:drawing>
          <wp:inline xmlns:a="http://schemas.openxmlformats.org/drawingml/2006/main" xmlns:pic="http://schemas.openxmlformats.org/drawingml/2006/picture">
            <wp:extent cx="5040000" cy="4748075"/>
            <wp:docPr id="10" name="Picture 10"/>
            <wp:cNvGraphicFramePr>
              <a:graphicFrameLocks noChangeAspect="1"/>
            </wp:cNvGraphicFramePr>
            <a:graphic>
              <a:graphicData uri="http://schemas.openxmlformats.org/drawingml/2006/picture">
                <pic:pic>
                  <pic:nvPicPr>
                    <pic:cNvPr id="0" name="shap_summary_xgboost.png"/>
                    <pic:cNvPicPr/>
                  </pic:nvPicPr>
                  <pic:blipFill>
                    <a:blip r:embed="rId18"/>
                    <a:stretch>
                      <a:fillRect/>
                    </a:stretch>
                  </pic:blipFill>
                  <pic:spPr>
                    <a:xfrm>
                      <a:off x="0" y="0"/>
                      <a:ext cx="5040000" cy="4748075"/>
                    </a:xfrm>
                    <a:prstGeom prst="rect"/>
                  </pic:spPr>
                </pic:pic>
              </a:graphicData>
            </a:graphic>
          </wp:inline>
        </w:drawing>
      </w:r>
    </w:p>
    <w:p>
      <w:pPr>
        <w:jc w:val="center"/>
      </w:pPr>
      <w:r>
        <w:rPr>
          <w:rFonts w:ascii="Times New Roman" w:hAnsi="Times New Roman"/>
          <w:b w:val="0"/>
          <w:i/>
          <w:sz w:val="20"/>
        </w:rPr>
        <w:t>Figura 10. SHAP Summary Plot – efecto de cada variable sobre la PD (XGBoost).</w:t>
      </w:r>
    </w:p>
    <w:p/>
    <w:p>
      <w:pPr>
        <w:jc w:val="center"/>
      </w:pPr>
      <w:r>
        <w:drawing>
          <wp:inline xmlns:a="http://schemas.openxmlformats.org/drawingml/2006/main" xmlns:pic="http://schemas.openxmlformats.org/drawingml/2006/picture">
            <wp:extent cx="5040000" cy="4719932"/>
            <wp:docPr id="11" name="Picture 11"/>
            <wp:cNvGraphicFramePr>
              <a:graphicFrameLocks noChangeAspect="1"/>
            </wp:cNvGraphicFramePr>
            <a:graphic>
              <a:graphicData uri="http://schemas.openxmlformats.org/drawingml/2006/picture">
                <pic:pic>
                  <pic:nvPicPr>
                    <pic:cNvPr id="0" name="shap_barplot_xgboost.png"/>
                    <pic:cNvPicPr/>
                  </pic:nvPicPr>
                  <pic:blipFill>
                    <a:blip r:embed="rId19"/>
                    <a:stretch>
                      <a:fillRect/>
                    </a:stretch>
                  </pic:blipFill>
                  <pic:spPr>
                    <a:xfrm>
                      <a:off x="0" y="0"/>
                      <a:ext cx="5040000" cy="4719932"/>
                    </a:xfrm>
                    <a:prstGeom prst="rect"/>
                  </pic:spPr>
                </pic:pic>
              </a:graphicData>
            </a:graphic>
          </wp:inline>
        </w:drawing>
      </w:r>
    </w:p>
    <w:p>
      <w:pPr>
        <w:jc w:val="center"/>
      </w:pPr>
      <w:r>
        <w:rPr>
          <w:rFonts w:ascii="Times New Roman" w:hAnsi="Times New Roman"/>
          <w:b w:val="0"/>
          <w:i/>
          <w:sz w:val="20"/>
        </w:rPr>
        <w:t>Figura 11. Importancia SHAP media – Top 15 variables.</w:t>
      </w:r>
    </w:p>
    <w:p/>
    <w:p>
      <w:pPr>
        <w:jc w:val="center"/>
      </w:pPr>
      <w:r>
        <w:drawing>
          <wp:inline xmlns:a="http://schemas.openxmlformats.org/drawingml/2006/main" xmlns:pic="http://schemas.openxmlformats.org/drawingml/2006/picture">
            <wp:extent cx="5040000" cy="3910737"/>
            <wp:docPr id="12" name="Picture 12"/>
            <wp:cNvGraphicFramePr>
              <a:graphicFrameLocks noChangeAspect="1"/>
            </wp:cNvGraphicFramePr>
            <a:graphic>
              <a:graphicData uri="http://schemas.openxmlformats.org/drawingml/2006/picture">
                <pic:pic>
                  <pic:nvPicPr>
                    <pic:cNvPr id="0" name="importancia_gain_xgboost.png"/>
                    <pic:cNvPicPr/>
                  </pic:nvPicPr>
                  <pic:blipFill>
                    <a:blip r:embed="rId20"/>
                    <a:stretch>
                      <a:fillRect/>
                    </a:stretch>
                  </pic:blipFill>
                  <pic:spPr>
                    <a:xfrm>
                      <a:off x="0" y="0"/>
                      <a:ext cx="5040000" cy="3910737"/>
                    </a:xfrm>
                    <a:prstGeom prst="rect"/>
                  </pic:spPr>
                </pic:pic>
              </a:graphicData>
            </a:graphic>
          </wp:inline>
        </w:drawing>
      </w:r>
    </w:p>
    <w:p>
      <w:pPr>
        <w:jc w:val="center"/>
      </w:pPr>
      <w:r>
        <w:rPr>
          <w:rFonts w:ascii="Times New Roman" w:hAnsi="Times New Roman"/>
          <w:b w:val="0"/>
          <w:i/>
          <w:sz w:val="20"/>
        </w:rPr>
        <w:t>Figura 12. Importancia por Gain (XGBoost nativo).</w:t>
      </w:r>
    </w:p>
    <w:p/>
    <w:p>
      <w:r>
        <w:br w:type="page"/>
      </w:r>
    </w:p>
    <w:p>
      <w:pPr>
        <w:pStyle w:val="Heading1"/>
        <w:jc w:val="left"/>
      </w:pPr>
      <w:r>
        <w:rPr>
          <w:rFonts w:ascii="Times New Roman" w:hAnsi="Times New Roman"/>
          <w:b/>
          <w:color w:val="000000"/>
          <w:sz w:val="28"/>
        </w:rPr>
        <w:t>12. Conclusiones y Líneas Futuras</w:t>
      </w:r>
    </w:p>
    <w:p>
      <w:pPr>
        <w:pStyle w:val="Heading2"/>
        <w:jc w:val="left"/>
      </w:pPr>
      <w:r>
        <w:rPr>
          <w:rFonts w:ascii="Times New Roman" w:hAnsi="Times New Roman"/>
          <w:b/>
          <w:color w:val="000000"/>
          <w:sz w:val="26"/>
        </w:rPr>
        <w:t>12.1 Conclusiones</w:t>
      </w:r>
    </w:p>
    <w:p>
      <w:pPr>
        <w:spacing w:before="0" w:after="120" w:line="360" w:lineRule="exact"/>
        <w:jc w:val="both"/>
      </w:pPr>
      <w:r>
        <w:rPr>
          <w:rFonts w:ascii="Times New Roman" w:hAnsi="Times New Roman"/>
          <w:b w:val="0"/>
          <w:i w:val="0"/>
          <w:sz w:val="24"/>
        </w:rPr>
        <w:t>Este trabajo presenta una metodología completa y reproducible para la estimación de la Probabilidad de Default bajo el marco regulatorio IFRS 9, utilizando datos hipotecarios públicos de Freddie Mac. Los principales resultados son:</w:t>
      </w:r>
    </w:p>
    <w:p>
      <w:pPr>
        <w:pStyle w:val="ListBullet"/>
      </w:pPr>
      <w:r>
        <w:rPr>
          <w:rFonts w:ascii="Times New Roman" w:hAnsi="Times New Roman"/>
          <w:b w:val="0"/>
          <w:i w:val="0"/>
          <w:sz w:val="22"/>
        </w:rPr>
        <w:t>Se definió y aplicó el default IFRS 9 (90+ DPD o evento de pérdida) sobre el panel longitudinal, obteniendo una tasa de default a 12 meses coherente con la literatura.</w:t>
      </w:r>
    </w:p>
    <w:p>
      <w:pPr>
        <w:pStyle w:val="ListBullet"/>
      </w:pPr>
      <w:r>
        <w:rPr>
          <w:rFonts w:ascii="Times New Roman" w:hAnsi="Times New Roman"/>
          <w:b w:val="0"/>
          <w:i w:val="0"/>
          <w:sz w:val="22"/>
        </w:rPr>
        <w:t>El modelo XGBoost calibrado obtuvo el mejor desempeño discriminante entre los tres modelos evaluados, con AUC y Gini superiores a los benchmarks regulatorios mínimos.</w:t>
      </w:r>
    </w:p>
    <w:p>
      <w:pPr>
        <w:pStyle w:val="ListBullet"/>
      </w:pPr>
      <w:r>
        <w:rPr>
          <w:rFonts w:ascii="Times New Roman" w:hAnsi="Times New Roman"/>
          <w:b w:val="0"/>
          <w:i w:val="0"/>
          <w:sz w:val="22"/>
        </w:rPr>
        <w:t>El análisis SHAP reveló que las variables de comportamiento dinámico (DPD corriente, máximo DPD histórico) dominan la predicción, seguidas por el credit score FICO y el LTV.</w:t>
      </w:r>
    </w:p>
    <w:p>
      <w:pPr>
        <w:pStyle w:val="ListBullet"/>
      </w:pPr>
      <w:r>
        <w:rPr>
          <w:rFonts w:ascii="Times New Roman" w:hAnsi="Times New Roman"/>
          <w:b w:val="0"/>
          <w:i w:val="0"/>
          <w:sz w:val="22"/>
        </w:rPr>
        <w:t>La curva Lifetime PD generada mediante el enfoque de supervivencia es aplicable directamente al cálculo de ECL para instrumentos en Stage 2.</w:t>
      </w:r>
    </w:p>
    <w:p>
      <w:pPr>
        <w:pStyle w:val="ListBullet"/>
      </w:pPr>
      <w:r>
        <w:rPr>
          <w:rFonts w:ascii="Times New Roman" w:hAnsi="Times New Roman"/>
          <w:b w:val="0"/>
          <w:i w:val="0"/>
          <w:sz w:val="22"/>
        </w:rPr>
        <w:t>La metodología es replicable con datos de carteras reales de entidades financieras argentinas, apoyando la adopción de IFRS 9 en el mercado local.</w:t>
      </w:r>
    </w:p>
    <w:p>
      <w:pPr>
        <w:pStyle w:val="ListBullet"/>
      </w:pPr>
      <w:r>
        <w:rPr>
          <w:rFonts w:ascii="Times New Roman" w:hAnsi="Times New Roman"/>
          <w:b w:val="0"/>
          <w:i w:val="0"/>
          <w:sz w:val="22"/>
        </w:rPr>
        <w:t>Se completó el cálculo integral del ECL estimando LGD sobre pérdidas realizadas y EAD mediante un esquema de amortización teórica ajustado por prepago (Sección 13), y se formalizaron cuantitativamente los umbrales de SICR, la segmentación empírica y la gobernanza de overrides exigidos por EBA GL/2017/16.</w:t>
      </w:r>
    </w:p>
    <w:p>
      <w:pPr>
        <w:pStyle w:val="Heading2"/>
        <w:jc w:val="left"/>
      </w:pPr>
      <w:r>
        <w:rPr>
          <w:rFonts w:ascii="Times New Roman" w:hAnsi="Times New Roman"/>
          <w:b/>
          <w:color w:val="000000"/>
          <w:sz w:val="26"/>
        </w:rPr>
        <w:t>12.2 Líneas Futuras</w:t>
      </w:r>
    </w:p>
    <w:p>
      <w:pPr>
        <w:pStyle w:val="ListBullet"/>
      </w:pPr>
      <w:r>
        <w:rPr>
          <w:rFonts w:ascii="Times New Roman" w:hAnsi="Times New Roman"/>
          <w:b w:val="0"/>
          <w:i w:val="0"/>
          <w:sz w:val="22"/>
        </w:rPr>
        <w:t>Incorporar variables macroeconómicas (desempleo, tasas de interés) para stress testing.</w:t>
      </w:r>
    </w:p>
    <w:p>
      <w:pPr>
        <w:pStyle w:val="ListBullet"/>
      </w:pPr>
      <w:r>
        <w:rPr>
          <w:rFonts w:ascii="Times New Roman" w:hAnsi="Times New Roman"/>
          <w:b w:val="0"/>
          <w:i w:val="0"/>
          <w:sz w:val="22"/>
        </w:rPr>
        <w:t>Reconstruir relaciones de grupo económico y de codeudores sobre datos con identificador de cliente persistente, para operacionalizar la regla de contagio formalizada en la Sección 13.2.</w:t>
      </w:r>
    </w:p>
    <w:p>
      <w:pPr>
        <w:pStyle w:val="ListBullet"/>
      </w:pPr>
      <w:r>
        <w:rPr>
          <w:rFonts w:ascii="Times New Roman" w:hAnsi="Times New Roman"/>
          <w:b w:val="0"/>
          <w:i w:val="0"/>
          <w:sz w:val="22"/>
        </w:rPr>
        <w:t>Aplicar la metodología a datos de entidades financieras argentinas bajo BCRA/NIIF 9.</w:t>
      </w:r>
    </w:p>
    <w:p>
      <w:pPr>
        <w:pStyle w:val="ListBullet"/>
      </w:pPr>
      <w:r>
        <w:rPr>
          <w:rFonts w:ascii="Times New Roman" w:hAnsi="Times New Roman"/>
          <w:b w:val="0"/>
          <w:i w:val="0"/>
          <w:sz w:val="22"/>
        </w:rPr>
        <w:t>Explorar modelos de Deep Learning (LSTM) para capturar dependencias temporales.</w:t>
      </w:r>
    </w:p>
    <w:p>
      <w:r>
        <w:br w:type="page"/>
      </w:r>
    </w:p>
    <w:p>
      <w:pPr>
        <w:pStyle w:val="Heading1"/>
        <w:jc w:val="left"/>
      </w:pPr>
      <w:r>
        <w:rPr>
          <w:rFonts w:ascii="Times New Roman" w:hAnsi="Times New Roman"/>
          <w:b/>
          <w:color w:val="000000"/>
          <w:sz w:val="28"/>
        </w:rPr>
        <w:t>13. Fortalecimiento del Marco de Gobernanza y Metodología</w:t>
      </w:r>
    </w:p>
    <w:p>
      <w:pPr>
        <w:spacing w:before="0" w:after="120" w:line="360" w:lineRule="exact"/>
        <w:jc w:val="both"/>
      </w:pPr>
      <w:r>
        <w:rPr>
          <w:rFonts w:ascii="Times New Roman" w:hAnsi="Times New Roman"/>
          <w:b w:val="0"/>
          <w:i w:val="0"/>
          <w:sz w:val="24"/>
        </w:rPr>
        <w:t>Esta sección documenta el respaldo cuantitativo y las políticas formales exigidas por EBA GL/2017/16 y por la NIIF 9 sobre seis dimensiones del modelo que, en versiones previas del trabajo, se resolvían de forma implícita: la segmentación de cartera, el criterio de contagio de riesgo, los supuestos de pérdida total en la LGD, la metodología de EAD y CCF, la formalización cuantitativa del SICR y la gobernanza de ajustes cualitativos (Post-Model Adjustments, PMA).</w:t>
      </w:r>
    </w:p>
    <w:p>
      <w:pPr>
        <w:pStyle w:val="Heading2"/>
        <w:jc w:val="left"/>
      </w:pPr>
      <w:r>
        <w:rPr>
          <w:rFonts w:ascii="Times New Roman" w:hAnsi="Times New Roman"/>
          <w:b/>
          <w:color w:val="000000"/>
          <w:sz w:val="26"/>
        </w:rPr>
        <w:t>13.1 Segmentación de Cartera: Validación Empírica</w:t>
      </w:r>
    </w:p>
    <w:p>
      <w:pPr>
        <w:spacing w:before="0" w:after="120" w:line="360" w:lineRule="exact"/>
        <w:jc w:val="both"/>
      </w:pPr>
      <w:r>
        <w:rPr>
          <w:rFonts w:ascii="Times New Roman" w:hAnsi="Times New Roman"/>
          <w:b w:val="0"/>
          <w:i w:val="0"/>
          <w:sz w:val="24"/>
        </w:rPr>
        <w:t>La NIIF 9 párr. 5.5.4 exige agrupar los instrumentos sobre la base de características de riesgo crediticio compartidas cuando la evaluación individual no sea posible; EBA GL/2017/16 §5.2 añade que la segmentación debe demostrarse empíricamente, verificando que cada segmento sea internamente homogéneo y mutuamente heterogéneo respecto de los demás. Se evaluaron siete dimensiones de segmentación (banda de FICO, banda de LTV original, banda de DTI, propósito del préstamo, estado de ocupación, canal de originación y tipo de propiedad) sobre el modelo XGBoost calibrado.</w:t>
      </w:r>
    </w:p>
    <w:p>
      <w:pPr>
        <w:spacing w:before="0" w:after="120" w:line="360" w:lineRule="exact"/>
        <w:jc w:val="both"/>
      </w:pPr>
      <w:r>
        <w:rPr>
          <w:rFonts w:ascii="Times New Roman" w:hAnsi="Times New Roman"/>
          <w:b w:val="0"/>
          <w:i w:val="0"/>
          <w:sz w:val="24"/>
        </w:rPr>
        <w:t>De los 31 segmentos evaluados, 24 cumplen el tamaño mínimo de reporte (5,000 observaciones y 50 defaults en test). El AUC out-of-time (vintage 2024) del modelo dentro de cada segmento oscila entre 0.7398 y 0.9333 (mediana 0.8403), lo que confirma que el poder discriminante se conserva de forma consistente a través de la segmentación.</w:t>
      </w:r>
    </w:p>
    <w:p>
      <w:pPr>
        <w:jc w:val="center"/>
      </w:pPr>
      <w:r>
        <w:rPr>
          <w:rFonts w:ascii="Times New Roman" w:hAnsi="Times New Roman"/>
          <w:b w:val="0"/>
          <w:i/>
          <w:sz w:val="20"/>
        </w:rPr>
        <w:t>Tabla 7. Discriminación y estabilidad del modelo por segmento (partición de test, vintage 2024)</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Pr>
                <w:rFonts w:ascii="Times New Roman" w:hAnsi="Times New Roman"/>
                <w:b/>
                <w:color w:val="FFFFFF"/>
                <w:sz w:val="18"/>
              </w:rPr>
              <w:t>segmentacion</w:t>
            </w:r>
          </w:p>
        </w:tc>
        <w:tc>
          <w:tcPr>
            <w:tcW w:type="dxa" w:w="1140"/>
            <w:shd w:val="clear" w:color="auto" w:fill="1F4E79"/>
          </w:tcPr>
          <w:p>
            <w:r>
              <w:rPr>
                <w:rFonts w:ascii="Times New Roman" w:hAnsi="Times New Roman"/>
                <w:b/>
                <w:color w:val="FFFFFF"/>
                <w:sz w:val="18"/>
              </w:rPr>
              <w:t>segmento</w:t>
            </w:r>
          </w:p>
        </w:tc>
        <w:tc>
          <w:tcPr>
            <w:tcW w:type="dxa" w:w="1140"/>
            <w:shd w:val="clear" w:color="auto" w:fill="1F4E79"/>
          </w:tcPr>
          <w:p>
            <w:r>
              <w:rPr>
                <w:rFonts w:ascii="Times New Roman" w:hAnsi="Times New Roman"/>
                <w:b/>
                <w:color w:val="FFFFFF"/>
                <w:sz w:val="18"/>
              </w:rPr>
              <w:t>n_test</w:t>
            </w:r>
          </w:p>
        </w:tc>
        <w:tc>
          <w:tcPr>
            <w:tcW w:type="dxa" w:w="1140"/>
            <w:shd w:val="clear" w:color="auto" w:fill="1F4E79"/>
          </w:tcPr>
          <w:p>
            <w:r>
              <w:rPr>
                <w:rFonts w:ascii="Times New Roman" w:hAnsi="Times New Roman"/>
                <w:b/>
                <w:color w:val="FFFFFF"/>
                <w:sz w:val="18"/>
              </w:rPr>
              <w:t>tasa_def_test</w:t>
            </w:r>
          </w:p>
        </w:tc>
        <w:tc>
          <w:tcPr>
            <w:tcW w:type="dxa" w:w="1140"/>
            <w:shd w:val="clear" w:color="auto" w:fill="1F4E79"/>
          </w:tcPr>
          <w:p>
            <w:r>
              <w:rPr>
                <w:rFonts w:ascii="Times New Roman" w:hAnsi="Times New Roman"/>
                <w:b/>
                <w:color w:val="FFFFFF"/>
                <w:sz w:val="18"/>
              </w:rPr>
              <w:t>AUC_test</w:t>
            </w:r>
          </w:p>
        </w:tc>
        <w:tc>
          <w:tcPr>
            <w:tcW w:type="dxa" w:w="1140"/>
            <w:shd w:val="clear" w:color="auto" w:fill="1F4E79"/>
          </w:tcPr>
          <w:p>
            <w:r>
              <w:rPr>
                <w:rFonts w:ascii="Times New Roman" w:hAnsi="Times New Roman"/>
                <w:b/>
                <w:color w:val="FFFFFF"/>
                <w:sz w:val="18"/>
              </w:rPr>
              <w:t>KS_test</w:t>
            </w:r>
          </w:p>
        </w:tc>
        <w:tc>
          <w:tcPr>
            <w:tcW w:type="dxa" w:w="1140"/>
            <w:shd w:val="clear" w:color="auto" w:fill="1F4E79"/>
          </w:tcPr>
          <w:p>
            <w:r>
              <w:rPr>
                <w:rFonts w:ascii="Times New Roman" w:hAnsi="Times New Roman"/>
                <w:b/>
                <w:color w:val="FFFFFF"/>
                <w:sz w:val="18"/>
              </w:rPr>
              <w:t>PSI</w:t>
            </w:r>
          </w:p>
        </w:tc>
        <w:tc>
          <w:tcPr>
            <w:tcW w:type="dxa" w:w="1140"/>
            <w:shd w:val="clear" w:color="auto" w:fill="1F4E79"/>
          </w:tcPr>
          <w:p>
            <w:r>
              <w:rPr>
                <w:rFonts w:ascii="Times New Roman" w:hAnsi="Times New Roman"/>
                <w:b/>
                <w:color w:val="FFFFFF"/>
                <w:sz w:val="18"/>
              </w:rPr>
              <w:t>PSI_estado</w:t>
            </w:r>
          </w:p>
        </w:tc>
      </w:tr>
      <w:tr>
        <w:tc>
          <w:tcPr>
            <w:tcW w:type="dxa" w:w="1140"/>
            <w:shd w:val="clear" w:color="auto" w:fill="FFFFFF"/>
          </w:tcPr>
          <w:p>
            <w:r>
              <w:rPr>
                <w:rFonts w:ascii="Times New Roman" w:hAnsi="Times New Roman"/>
                <w:sz w:val="18"/>
              </w:rPr>
              <w:t>banda_fico</w:t>
            </w:r>
          </w:p>
        </w:tc>
        <w:tc>
          <w:tcPr>
            <w:tcW w:type="dxa" w:w="1140"/>
            <w:shd w:val="clear" w:color="auto" w:fill="FFFFFF"/>
          </w:tcPr>
          <w:p>
            <w:r>
              <w:rPr>
                <w:rFonts w:ascii="Times New Roman" w:hAnsi="Times New Roman"/>
                <w:sz w:val="18"/>
              </w:rPr>
              <w:t>660-699</w:t>
            </w:r>
          </w:p>
        </w:tc>
        <w:tc>
          <w:tcPr>
            <w:tcW w:type="dxa" w:w="1140"/>
            <w:shd w:val="clear" w:color="auto" w:fill="FFFFFF"/>
          </w:tcPr>
          <w:p>
            <w:r>
              <w:rPr>
                <w:rFonts w:ascii="Times New Roman" w:hAnsi="Times New Roman"/>
                <w:sz w:val="18"/>
              </w:rPr>
              <w:t>42449</w:t>
            </w:r>
          </w:p>
        </w:tc>
        <w:tc>
          <w:tcPr>
            <w:tcW w:type="dxa" w:w="1140"/>
            <w:shd w:val="clear" w:color="auto" w:fill="FFFFFF"/>
          </w:tcPr>
          <w:p>
            <w:r>
              <w:rPr>
                <w:rFonts w:ascii="Times New Roman" w:hAnsi="Times New Roman"/>
                <w:sz w:val="18"/>
              </w:rPr>
              <w:t>0.0075</w:t>
            </w:r>
          </w:p>
        </w:tc>
        <w:tc>
          <w:tcPr>
            <w:tcW w:type="dxa" w:w="1140"/>
            <w:shd w:val="clear" w:color="auto" w:fill="FFFFFF"/>
          </w:tcPr>
          <w:p>
            <w:r>
              <w:rPr>
                <w:rFonts w:ascii="Times New Roman" w:hAnsi="Times New Roman"/>
                <w:sz w:val="18"/>
              </w:rPr>
              <w:t>0.7888</w:t>
            </w:r>
          </w:p>
        </w:tc>
        <w:tc>
          <w:tcPr>
            <w:tcW w:type="dxa" w:w="1140"/>
            <w:shd w:val="clear" w:color="auto" w:fill="FFFFFF"/>
          </w:tcPr>
          <w:p>
            <w:r>
              <w:rPr>
                <w:rFonts w:ascii="Times New Roman" w:hAnsi="Times New Roman"/>
                <w:sz w:val="18"/>
              </w:rPr>
              <w:t>0.4711</w:t>
            </w:r>
          </w:p>
        </w:tc>
        <w:tc>
          <w:tcPr>
            <w:tcW w:type="dxa" w:w="1140"/>
            <w:shd w:val="clear" w:color="auto" w:fill="FFFFFF"/>
          </w:tcPr>
          <w:p>
            <w:r>
              <w:rPr>
                <w:rFonts w:ascii="Times New Roman" w:hAnsi="Times New Roman"/>
                <w:sz w:val="18"/>
              </w:rPr>
              <w:t>1.0441</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banda_fico</w:t>
            </w:r>
          </w:p>
        </w:tc>
        <w:tc>
          <w:tcPr>
            <w:tcW w:type="dxa" w:w="1140"/>
            <w:shd w:val="clear" w:color="auto" w:fill="E8F0FE"/>
          </w:tcPr>
          <w:p>
            <w:r>
              <w:rPr>
                <w:rFonts w:ascii="Times New Roman" w:hAnsi="Times New Roman"/>
                <w:sz w:val="18"/>
              </w:rPr>
              <w:t>700-739</w:t>
            </w:r>
          </w:p>
        </w:tc>
        <w:tc>
          <w:tcPr>
            <w:tcW w:type="dxa" w:w="1140"/>
            <w:shd w:val="clear" w:color="auto" w:fill="E8F0FE"/>
          </w:tcPr>
          <w:p>
            <w:r>
              <w:rPr>
                <w:rFonts w:ascii="Times New Roman" w:hAnsi="Times New Roman"/>
                <w:sz w:val="18"/>
              </w:rPr>
              <w:t>80915</w:t>
            </w:r>
          </w:p>
        </w:tc>
        <w:tc>
          <w:tcPr>
            <w:tcW w:type="dxa" w:w="1140"/>
            <w:shd w:val="clear" w:color="auto" w:fill="E8F0FE"/>
          </w:tcPr>
          <w:p>
            <w:r>
              <w:rPr>
                <w:rFonts w:ascii="Times New Roman" w:hAnsi="Times New Roman"/>
                <w:sz w:val="18"/>
              </w:rPr>
              <w:t>0.0035</w:t>
            </w:r>
          </w:p>
        </w:tc>
        <w:tc>
          <w:tcPr>
            <w:tcW w:type="dxa" w:w="1140"/>
            <w:shd w:val="clear" w:color="auto" w:fill="E8F0FE"/>
          </w:tcPr>
          <w:p>
            <w:r>
              <w:rPr>
                <w:rFonts w:ascii="Times New Roman" w:hAnsi="Times New Roman"/>
                <w:sz w:val="18"/>
              </w:rPr>
              <w:t>0.7622</w:t>
            </w:r>
          </w:p>
        </w:tc>
        <w:tc>
          <w:tcPr>
            <w:tcW w:type="dxa" w:w="1140"/>
            <w:shd w:val="clear" w:color="auto" w:fill="E8F0FE"/>
          </w:tcPr>
          <w:p>
            <w:r>
              <w:rPr>
                <w:rFonts w:ascii="Times New Roman" w:hAnsi="Times New Roman"/>
                <w:sz w:val="18"/>
              </w:rPr>
              <w:t>0.3900</w:t>
            </w:r>
          </w:p>
        </w:tc>
        <w:tc>
          <w:tcPr>
            <w:tcW w:type="dxa" w:w="1140"/>
            <w:shd w:val="clear" w:color="auto" w:fill="E8F0FE"/>
          </w:tcPr>
          <w:p>
            <w:r>
              <w:rPr>
                <w:rFonts w:ascii="Times New Roman" w:hAnsi="Times New Roman"/>
                <w:sz w:val="18"/>
              </w:rPr>
              <w:t>0.8132</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banda_fico</w:t>
            </w:r>
          </w:p>
        </w:tc>
        <w:tc>
          <w:tcPr>
            <w:tcW w:type="dxa" w:w="1140"/>
            <w:shd w:val="clear" w:color="auto" w:fill="FFFFFF"/>
          </w:tcPr>
          <w:p>
            <w:r>
              <w:rPr>
                <w:rFonts w:ascii="Times New Roman" w:hAnsi="Times New Roman"/>
                <w:sz w:val="18"/>
              </w:rPr>
              <w:t>740-779</w:t>
            </w:r>
          </w:p>
        </w:tc>
        <w:tc>
          <w:tcPr>
            <w:tcW w:type="dxa" w:w="1140"/>
            <w:shd w:val="clear" w:color="auto" w:fill="FFFFFF"/>
          </w:tcPr>
          <w:p>
            <w:r>
              <w:rPr>
                <w:rFonts w:ascii="Times New Roman" w:hAnsi="Times New Roman"/>
                <w:sz w:val="18"/>
              </w:rPr>
              <w:t>130924</w:t>
            </w:r>
          </w:p>
        </w:tc>
        <w:tc>
          <w:tcPr>
            <w:tcW w:type="dxa" w:w="1140"/>
            <w:shd w:val="clear" w:color="auto" w:fill="FFFFFF"/>
          </w:tcPr>
          <w:p>
            <w:r>
              <w:rPr>
                <w:rFonts w:ascii="Times New Roman" w:hAnsi="Times New Roman"/>
                <w:sz w:val="18"/>
              </w:rPr>
              <w:t>0.0018</w:t>
            </w:r>
          </w:p>
        </w:tc>
        <w:tc>
          <w:tcPr>
            <w:tcW w:type="dxa" w:w="1140"/>
            <w:shd w:val="clear" w:color="auto" w:fill="FFFFFF"/>
          </w:tcPr>
          <w:p>
            <w:r>
              <w:rPr>
                <w:rFonts w:ascii="Times New Roman" w:hAnsi="Times New Roman"/>
                <w:sz w:val="18"/>
              </w:rPr>
              <w:t>0.8046</w:t>
            </w:r>
          </w:p>
        </w:tc>
        <w:tc>
          <w:tcPr>
            <w:tcW w:type="dxa" w:w="1140"/>
            <w:shd w:val="clear" w:color="auto" w:fill="FFFFFF"/>
          </w:tcPr>
          <w:p>
            <w:r>
              <w:rPr>
                <w:rFonts w:ascii="Times New Roman" w:hAnsi="Times New Roman"/>
                <w:sz w:val="18"/>
              </w:rPr>
              <w:t>0.4522</w:t>
            </w:r>
          </w:p>
        </w:tc>
        <w:tc>
          <w:tcPr>
            <w:tcW w:type="dxa" w:w="1140"/>
            <w:shd w:val="clear" w:color="auto" w:fill="FFFFFF"/>
          </w:tcPr>
          <w:p>
            <w:r>
              <w:rPr>
                <w:rFonts w:ascii="Times New Roman" w:hAnsi="Times New Roman"/>
                <w:sz w:val="18"/>
              </w:rPr>
              <w:t>0.6882</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banda_fico</w:t>
            </w:r>
          </w:p>
        </w:tc>
        <w:tc>
          <w:tcPr>
            <w:tcW w:type="dxa" w:w="1140"/>
            <w:shd w:val="clear" w:color="auto" w:fill="E8F0FE"/>
          </w:tcPr>
          <w:p>
            <w:r>
              <w:rPr>
                <w:rFonts w:ascii="Times New Roman" w:hAnsi="Times New Roman"/>
                <w:sz w:val="18"/>
              </w:rPr>
              <w:t>780+</w:t>
            </w:r>
          </w:p>
        </w:tc>
        <w:tc>
          <w:tcPr>
            <w:tcW w:type="dxa" w:w="1140"/>
            <w:shd w:val="clear" w:color="auto" w:fill="E8F0FE"/>
          </w:tcPr>
          <w:p>
            <w:r>
              <w:rPr>
                <w:rFonts w:ascii="Times New Roman" w:hAnsi="Times New Roman"/>
                <w:sz w:val="18"/>
              </w:rPr>
              <w:t>140311</w:t>
            </w:r>
          </w:p>
        </w:tc>
        <w:tc>
          <w:tcPr>
            <w:tcW w:type="dxa" w:w="1140"/>
            <w:shd w:val="clear" w:color="auto" w:fill="E8F0FE"/>
          </w:tcPr>
          <w:p>
            <w:r>
              <w:rPr>
                <w:rFonts w:ascii="Times New Roman" w:hAnsi="Times New Roman"/>
                <w:sz w:val="18"/>
              </w:rPr>
              <w:t>0.0007</w:t>
            </w:r>
          </w:p>
        </w:tc>
        <w:tc>
          <w:tcPr>
            <w:tcW w:type="dxa" w:w="1140"/>
            <w:shd w:val="clear" w:color="auto" w:fill="E8F0FE"/>
          </w:tcPr>
          <w:p>
            <w:r>
              <w:rPr>
                <w:rFonts w:ascii="Times New Roman" w:hAnsi="Times New Roman"/>
                <w:sz w:val="18"/>
              </w:rPr>
              <w:t>0.7806</w:t>
            </w:r>
          </w:p>
        </w:tc>
        <w:tc>
          <w:tcPr>
            <w:tcW w:type="dxa" w:w="1140"/>
            <w:shd w:val="clear" w:color="auto" w:fill="E8F0FE"/>
          </w:tcPr>
          <w:p>
            <w:r>
              <w:rPr>
                <w:rFonts w:ascii="Times New Roman" w:hAnsi="Times New Roman"/>
                <w:sz w:val="18"/>
              </w:rPr>
              <w:t>0.4280</w:t>
            </w:r>
          </w:p>
        </w:tc>
        <w:tc>
          <w:tcPr>
            <w:tcW w:type="dxa" w:w="1140"/>
            <w:shd w:val="clear" w:color="auto" w:fill="E8F0FE"/>
          </w:tcPr>
          <w:p>
            <w:r>
              <w:rPr>
                <w:rFonts w:ascii="Times New Roman" w:hAnsi="Times New Roman"/>
                <w:sz w:val="18"/>
              </w:rPr>
              <w:t>0.6968</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banda_fico</w:t>
            </w:r>
          </w:p>
        </w:tc>
        <w:tc>
          <w:tcPr>
            <w:tcW w:type="dxa" w:w="1140"/>
            <w:shd w:val="clear" w:color="auto" w:fill="FFFFFF"/>
          </w:tcPr>
          <w:p>
            <w:r>
              <w:rPr>
                <w:rFonts w:ascii="Times New Roman" w:hAnsi="Times New Roman"/>
                <w:sz w:val="18"/>
              </w:rPr>
              <w:t>&lt;660</w:t>
            </w:r>
          </w:p>
        </w:tc>
        <w:tc>
          <w:tcPr>
            <w:tcW w:type="dxa" w:w="1140"/>
            <w:shd w:val="clear" w:color="auto" w:fill="FFFFFF"/>
          </w:tcPr>
          <w:p>
            <w:r>
              <w:rPr>
                <w:rFonts w:ascii="Times New Roman" w:hAnsi="Times New Roman"/>
                <w:sz w:val="18"/>
              </w:rPr>
              <w:t>17316</w:t>
            </w:r>
          </w:p>
        </w:tc>
        <w:tc>
          <w:tcPr>
            <w:tcW w:type="dxa" w:w="1140"/>
            <w:shd w:val="clear" w:color="auto" w:fill="FFFFFF"/>
          </w:tcPr>
          <w:p>
            <w:r>
              <w:rPr>
                <w:rFonts w:ascii="Times New Roman" w:hAnsi="Times New Roman"/>
                <w:sz w:val="18"/>
              </w:rPr>
              <w:t>0.0176</w:t>
            </w:r>
          </w:p>
        </w:tc>
        <w:tc>
          <w:tcPr>
            <w:tcW w:type="dxa" w:w="1140"/>
            <w:shd w:val="clear" w:color="auto" w:fill="FFFFFF"/>
          </w:tcPr>
          <w:p>
            <w:r>
              <w:rPr>
                <w:rFonts w:ascii="Times New Roman" w:hAnsi="Times New Roman"/>
                <w:sz w:val="18"/>
              </w:rPr>
              <w:t>0.7398</w:t>
            </w:r>
          </w:p>
        </w:tc>
        <w:tc>
          <w:tcPr>
            <w:tcW w:type="dxa" w:w="1140"/>
            <w:shd w:val="clear" w:color="auto" w:fill="FFFFFF"/>
          </w:tcPr>
          <w:p>
            <w:r>
              <w:rPr>
                <w:rFonts w:ascii="Times New Roman" w:hAnsi="Times New Roman"/>
                <w:sz w:val="18"/>
              </w:rPr>
              <w:t>0.4025</w:t>
            </w:r>
          </w:p>
        </w:tc>
        <w:tc>
          <w:tcPr>
            <w:tcW w:type="dxa" w:w="1140"/>
            <w:shd w:val="clear" w:color="auto" w:fill="FFFFFF"/>
          </w:tcPr>
          <w:p>
            <w:r>
              <w:rPr>
                <w:rFonts w:ascii="Times New Roman" w:hAnsi="Times New Roman"/>
                <w:sz w:val="18"/>
              </w:rPr>
              <w:t>1.4583</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banda_ltv</w:t>
            </w:r>
          </w:p>
        </w:tc>
        <w:tc>
          <w:tcPr>
            <w:tcW w:type="dxa" w:w="1140"/>
            <w:shd w:val="clear" w:color="auto" w:fill="E8F0FE"/>
          </w:tcPr>
          <w:p>
            <w:r>
              <w:rPr>
                <w:rFonts w:ascii="Times New Roman" w:hAnsi="Times New Roman"/>
                <w:sz w:val="18"/>
              </w:rPr>
              <w:t>60-75</w:t>
            </w:r>
          </w:p>
        </w:tc>
        <w:tc>
          <w:tcPr>
            <w:tcW w:type="dxa" w:w="1140"/>
            <w:shd w:val="clear" w:color="auto" w:fill="E8F0FE"/>
          </w:tcPr>
          <w:p>
            <w:r>
              <w:rPr>
                <w:rFonts w:ascii="Times New Roman" w:hAnsi="Times New Roman"/>
                <w:sz w:val="18"/>
              </w:rPr>
              <w:t>63453</w:t>
            </w:r>
          </w:p>
        </w:tc>
        <w:tc>
          <w:tcPr>
            <w:tcW w:type="dxa" w:w="1140"/>
            <w:shd w:val="clear" w:color="auto" w:fill="E8F0FE"/>
          </w:tcPr>
          <w:p>
            <w:r>
              <w:rPr>
                <w:rFonts w:ascii="Times New Roman" w:hAnsi="Times New Roman"/>
                <w:sz w:val="18"/>
              </w:rPr>
              <w:t>0.0025</w:t>
            </w:r>
          </w:p>
        </w:tc>
        <w:tc>
          <w:tcPr>
            <w:tcW w:type="dxa" w:w="1140"/>
            <w:shd w:val="clear" w:color="auto" w:fill="E8F0FE"/>
          </w:tcPr>
          <w:p>
            <w:r>
              <w:rPr>
                <w:rFonts w:ascii="Times New Roman" w:hAnsi="Times New Roman"/>
                <w:sz w:val="18"/>
              </w:rPr>
              <w:t>0.8998</w:t>
            </w:r>
          </w:p>
        </w:tc>
        <w:tc>
          <w:tcPr>
            <w:tcW w:type="dxa" w:w="1140"/>
            <w:shd w:val="clear" w:color="auto" w:fill="E8F0FE"/>
          </w:tcPr>
          <w:p>
            <w:r>
              <w:rPr>
                <w:rFonts w:ascii="Times New Roman" w:hAnsi="Times New Roman"/>
                <w:sz w:val="18"/>
              </w:rPr>
              <w:t>0.6479</w:t>
            </w:r>
          </w:p>
        </w:tc>
        <w:tc>
          <w:tcPr>
            <w:tcW w:type="dxa" w:w="1140"/>
            <w:shd w:val="clear" w:color="auto" w:fill="E8F0FE"/>
          </w:tcPr>
          <w:p>
            <w:r>
              <w:rPr>
                <w:rFonts w:ascii="Times New Roman" w:hAnsi="Times New Roman"/>
                <w:sz w:val="18"/>
              </w:rPr>
              <w:t>0.4582</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banda_ltv</w:t>
            </w:r>
          </w:p>
        </w:tc>
        <w:tc>
          <w:tcPr>
            <w:tcW w:type="dxa" w:w="1140"/>
            <w:shd w:val="clear" w:color="auto" w:fill="FFFFFF"/>
          </w:tcPr>
          <w:p>
            <w:r>
              <w:rPr>
                <w:rFonts w:ascii="Times New Roman" w:hAnsi="Times New Roman"/>
                <w:sz w:val="18"/>
              </w:rPr>
              <w:t>75-80</w:t>
            </w:r>
          </w:p>
        </w:tc>
        <w:tc>
          <w:tcPr>
            <w:tcW w:type="dxa" w:w="1140"/>
            <w:shd w:val="clear" w:color="auto" w:fill="FFFFFF"/>
          </w:tcPr>
          <w:p>
            <w:r>
              <w:rPr>
                <w:rFonts w:ascii="Times New Roman" w:hAnsi="Times New Roman"/>
                <w:sz w:val="18"/>
              </w:rPr>
              <w:t>37831</w:t>
            </w:r>
          </w:p>
        </w:tc>
        <w:tc>
          <w:tcPr>
            <w:tcW w:type="dxa" w:w="1140"/>
            <w:shd w:val="clear" w:color="auto" w:fill="FFFFFF"/>
          </w:tcPr>
          <w:p>
            <w:r>
              <w:rPr>
                <w:rFonts w:ascii="Times New Roman" w:hAnsi="Times New Roman"/>
                <w:sz w:val="18"/>
              </w:rPr>
              <w:t>0.0020</w:t>
            </w:r>
          </w:p>
        </w:tc>
        <w:tc>
          <w:tcPr>
            <w:tcW w:type="dxa" w:w="1140"/>
            <w:shd w:val="clear" w:color="auto" w:fill="FFFFFF"/>
          </w:tcPr>
          <w:p>
            <w:r>
              <w:rPr>
                <w:rFonts w:ascii="Times New Roman" w:hAnsi="Times New Roman"/>
                <w:sz w:val="18"/>
              </w:rPr>
              <w:t>0.8393</w:t>
            </w:r>
          </w:p>
        </w:tc>
        <w:tc>
          <w:tcPr>
            <w:tcW w:type="dxa" w:w="1140"/>
            <w:shd w:val="clear" w:color="auto" w:fill="FFFFFF"/>
          </w:tcPr>
          <w:p>
            <w:r>
              <w:rPr>
                <w:rFonts w:ascii="Times New Roman" w:hAnsi="Times New Roman"/>
                <w:sz w:val="18"/>
              </w:rPr>
              <w:t>0.5333</w:t>
            </w:r>
          </w:p>
        </w:tc>
        <w:tc>
          <w:tcPr>
            <w:tcW w:type="dxa" w:w="1140"/>
            <w:shd w:val="clear" w:color="auto" w:fill="FFFFFF"/>
          </w:tcPr>
          <w:p>
            <w:r>
              <w:rPr>
                <w:rFonts w:ascii="Times New Roman" w:hAnsi="Times New Roman"/>
                <w:sz w:val="18"/>
              </w:rPr>
              <w:t>0.4348</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banda_ltv</w:t>
            </w:r>
          </w:p>
        </w:tc>
        <w:tc>
          <w:tcPr>
            <w:tcW w:type="dxa" w:w="1140"/>
            <w:shd w:val="clear" w:color="auto" w:fill="E8F0FE"/>
          </w:tcPr>
          <w:p>
            <w:r>
              <w:rPr>
                <w:rFonts w:ascii="Times New Roman" w:hAnsi="Times New Roman"/>
                <w:sz w:val="18"/>
              </w:rPr>
              <w:t>80-90</w:t>
            </w:r>
          </w:p>
        </w:tc>
        <w:tc>
          <w:tcPr>
            <w:tcW w:type="dxa" w:w="1140"/>
            <w:shd w:val="clear" w:color="auto" w:fill="E8F0FE"/>
          </w:tcPr>
          <w:p>
            <w:r>
              <w:rPr>
                <w:rFonts w:ascii="Times New Roman" w:hAnsi="Times New Roman"/>
                <w:sz w:val="18"/>
              </w:rPr>
              <w:t>102464</w:t>
            </w:r>
          </w:p>
        </w:tc>
        <w:tc>
          <w:tcPr>
            <w:tcW w:type="dxa" w:w="1140"/>
            <w:shd w:val="clear" w:color="auto" w:fill="E8F0FE"/>
          </w:tcPr>
          <w:p>
            <w:r>
              <w:rPr>
                <w:rFonts w:ascii="Times New Roman" w:hAnsi="Times New Roman"/>
                <w:sz w:val="18"/>
              </w:rPr>
              <w:t>0.0023</w:t>
            </w:r>
          </w:p>
        </w:tc>
        <w:tc>
          <w:tcPr>
            <w:tcW w:type="dxa" w:w="1140"/>
            <w:shd w:val="clear" w:color="auto" w:fill="E8F0FE"/>
          </w:tcPr>
          <w:p>
            <w:r>
              <w:rPr>
                <w:rFonts w:ascii="Times New Roman" w:hAnsi="Times New Roman"/>
                <w:sz w:val="18"/>
              </w:rPr>
              <w:t>0.8413</w:t>
            </w:r>
          </w:p>
        </w:tc>
        <w:tc>
          <w:tcPr>
            <w:tcW w:type="dxa" w:w="1140"/>
            <w:shd w:val="clear" w:color="auto" w:fill="E8F0FE"/>
          </w:tcPr>
          <w:p>
            <w:r>
              <w:rPr>
                <w:rFonts w:ascii="Times New Roman" w:hAnsi="Times New Roman"/>
                <w:sz w:val="18"/>
              </w:rPr>
              <w:t>0.5317</w:t>
            </w:r>
          </w:p>
        </w:tc>
        <w:tc>
          <w:tcPr>
            <w:tcW w:type="dxa" w:w="1140"/>
            <w:shd w:val="clear" w:color="auto" w:fill="E8F0FE"/>
          </w:tcPr>
          <w:p>
            <w:r>
              <w:rPr>
                <w:rFonts w:ascii="Times New Roman" w:hAnsi="Times New Roman"/>
                <w:sz w:val="18"/>
              </w:rPr>
              <w:t>0.4195</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banda_ltv</w:t>
            </w:r>
          </w:p>
        </w:tc>
        <w:tc>
          <w:tcPr>
            <w:tcW w:type="dxa" w:w="1140"/>
            <w:shd w:val="clear" w:color="auto" w:fill="FFFFFF"/>
          </w:tcPr>
          <w:p>
            <w:r>
              <w:rPr>
                <w:rFonts w:ascii="Times New Roman" w:hAnsi="Times New Roman"/>
                <w:sz w:val="18"/>
              </w:rPr>
              <w:t>&lt;=60</w:t>
            </w:r>
          </w:p>
        </w:tc>
        <w:tc>
          <w:tcPr>
            <w:tcW w:type="dxa" w:w="1140"/>
            <w:shd w:val="clear" w:color="auto" w:fill="FFFFFF"/>
          </w:tcPr>
          <w:p>
            <w:r>
              <w:rPr>
                <w:rFonts w:ascii="Times New Roman" w:hAnsi="Times New Roman"/>
                <w:sz w:val="18"/>
              </w:rPr>
              <w:t>78502</w:t>
            </w:r>
          </w:p>
        </w:tc>
        <w:tc>
          <w:tcPr>
            <w:tcW w:type="dxa" w:w="1140"/>
            <w:shd w:val="clear" w:color="auto" w:fill="FFFFFF"/>
          </w:tcPr>
          <w:p>
            <w:r>
              <w:rPr>
                <w:rFonts w:ascii="Times New Roman" w:hAnsi="Times New Roman"/>
                <w:sz w:val="18"/>
              </w:rPr>
              <w:t>0.0017</w:t>
            </w:r>
          </w:p>
        </w:tc>
        <w:tc>
          <w:tcPr>
            <w:tcW w:type="dxa" w:w="1140"/>
            <w:shd w:val="clear" w:color="auto" w:fill="FFFFFF"/>
          </w:tcPr>
          <w:p>
            <w:r>
              <w:rPr>
                <w:rFonts w:ascii="Times New Roman" w:hAnsi="Times New Roman"/>
                <w:sz w:val="18"/>
              </w:rPr>
              <w:t>0.9216</w:t>
            </w:r>
          </w:p>
        </w:tc>
        <w:tc>
          <w:tcPr>
            <w:tcW w:type="dxa" w:w="1140"/>
            <w:shd w:val="clear" w:color="auto" w:fill="FFFFFF"/>
          </w:tcPr>
          <w:p>
            <w:r>
              <w:rPr>
                <w:rFonts w:ascii="Times New Roman" w:hAnsi="Times New Roman"/>
                <w:sz w:val="18"/>
              </w:rPr>
              <w:t>0.7013</w:t>
            </w:r>
          </w:p>
        </w:tc>
        <w:tc>
          <w:tcPr>
            <w:tcW w:type="dxa" w:w="1140"/>
            <w:shd w:val="clear" w:color="auto" w:fill="FFFFFF"/>
          </w:tcPr>
          <w:p>
            <w:r>
              <w:rPr>
                <w:rFonts w:ascii="Times New Roman" w:hAnsi="Times New Roman"/>
                <w:sz w:val="18"/>
              </w:rPr>
              <w:t>0.2585</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banda_ltv</w:t>
            </w:r>
          </w:p>
        </w:tc>
        <w:tc>
          <w:tcPr>
            <w:tcW w:type="dxa" w:w="1140"/>
            <w:shd w:val="clear" w:color="auto" w:fill="E8F0FE"/>
          </w:tcPr>
          <w:p>
            <w:r>
              <w:rPr>
                <w:rFonts w:ascii="Times New Roman" w:hAnsi="Times New Roman"/>
                <w:sz w:val="18"/>
              </w:rPr>
              <w:t>&gt;90</w:t>
            </w:r>
          </w:p>
        </w:tc>
        <w:tc>
          <w:tcPr>
            <w:tcW w:type="dxa" w:w="1140"/>
            <w:shd w:val="clear" w:color="auto" w:fill="E8F0FE"/>
          </w:tcPr>
          <w:p>
            <w:r>
              <w:rPr>
                <w:rFonts w:ascii="Times New Roman" w:hAnsi="Times New Roman"/>
                <w:sz w:val="18"/>
              </w:rPr>
              <w:t>129815</w:t>
            </w:r>
          </w:p>
        </w:tc>
        <w:tc>
          <w:tcPr>
            <w:tcW w:type="dxa" w:w="1140"/>
            <w:shd w:val="clear" w:color="auto" w:fill="E8F0FE"/>
          </w:tcPr>
          <w:p>
            <w:r>
              <w:rPr>
                <w:rFonts w:ascii="Times New Roman" w:hAnsi="Times New Roman"/>
                <w:sz w:val="18"/>
              </w:rPr>
              <w:t>0.0049</w:t>
            </w:r>
          </w:p>
        </w:tc>
        <w:tc>
          <w:tcPr>
            <w:tcW w:type="dxa" w:w="1140"/>
            <w:shd w:val="clear" w:color="auto" w:fill="E8F0FE"/>
          </w:tcPr>
          <w:p>
            <w:r>
              <w:rPr>
                <w:rFonts w:ascii="Times New Roman" w:hAnsi="Times New Roman"/>
                <w:sz w:val="18"/>
              </w:rPr>
              <w:t>0.7976</w:t>
            </w:r>
          </w:p>
        </w:tc>
        <w:tc>
          <w:tcPr>
            <w:tcW w:type="dxa" w:w="1140"/>
            <w:shd w:val="clear" w:color="auto" w:fill="E8F0FE"/>
          </w:tcPr>
          <w:p>
            <w:r>
              <w:rPr>
                <w:rFonts w:ascii="Times New Roman" w:hAnsi="Times New Roman"/>
                <w:sz w:val="18"/>
              </w:rPr>
              <w:t>0.4233</w:t>
            </w:r>
          </w:p>
        </w:tc>
        <w:tc>
          <w:tcPr>
            <w:tcW w:type="dxa" w:w="1140"/>
            <w:shd w:val="clear" w:color="auto" w:fill="E8F0FE"/>
          </w:tcPr>
          <w:p>
            <w:r>
              <w:rPr>
                <w:rFonts w:ascii="Times New Roman" w:hAnsi="Times New Roman"/>
                <w:sz w:val="18"/>
              </w:rPr>
              <w:t>0.3576</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banda_dti</w:t>
            </w:r>
          </w:p>
        </w:tc>
        <w:tc>
          <w:tcPr>
            <w:tcW w:type="dxa" w:w="1140"/>
            <w:shd w:val="clear" w:color="auto" w:fill="FFFFFF"/>
          </w:tcPr>
          <w:p>
            <w:r>
              <w:rPr>
                <w:rFonts w:ascii="Times New Roman" w:hAnsi="Times New Roman"/>
                <w:sz w:val="18"/>
              </w:rPr>
              <w:t>30-36</w:t>
            </w:r>
          </w:p>
        </w:tc>
        <w:tc>
          <w:tcPr>
            <w:tcW w:type="dxa" w:w="1140"/>
            <w:shd w:val="clear" w:color="auto" w:fill="FFFFFF"/>
          </w:tcPr>
          <w:p>
            <w:r>
              <w:rPr>
                <w:rFonts w:ascii="Times New Roman" w:hAnsi="Times New Roman"/>
                <w:sz w:val="18"/>
              </w:rPr>
              <w:t>66335</w:t>
            </w:r>
          </w:p>
        </w:tc>
        <w:tc>
          <w:tcPr>
            <w:tcW w:type="dxa" w:w="1140"/>
            <w:shd w:val="clear" w:color="auto" w:fill="FFFFFF"/>
          </w:tcPr>
          <w:p>
            <w:r>
              <w:rPr>
                <w:rFonts w:ascii="Times New Roman" w:hAnsi="Times New Roman"/>
                <w:sz w:val="18"/>
              </w:rPr>
              <w:t>0.0028</w:t>
            </w:r>
          </w:p>
        </w:tc>
        <w:tc>
          <w:tcPr>
            <w:tcW w:type="dxa" w:w="1140"/>
            <w:shd w:val="clear" w:color="auto" w:fill="FFFFFF"/>
          </w:tcPr>
          <w:p>
            <w:r>
              <w:rPr>
                <w:rFonts w:ascii="Times New Roman" w:hAnsi="Times New Roman"/>
                <w:sz w:val="18"/>
              </w:rPr>
              <w:t>0.8791</w:t>
            </w:r>
          </w:p>
        </w:tc>
        <w:tc>
          <w:tcPr>
            <w:tcW w:type="dxa" w:w="1140"/>
            <w:shd w:val="clear" w:color="auto" w:fill="FFFFFF"/>
          </w:tcPr>
          <w:p>
            <w:r>
              <w:rPr>
                <w:rFonts w:ascii="Times New Roman" w:hAnsi="Times New Roman"/>
                <w:sz w:val="18"/>
              </w:rPr>
              <w:t>0.6431</w:t>
            </w:r>
          </w:p>
        </w:tc>
        <w:tc>
          <w:tcPr>
            <w:tcW w:type="dxa" w:w="1140"/>
            <w:shd w:val="clear" w:color="auto" w:fill="FFFFFF"/>
          </w:tcPr>
          <w:p>
            <w:r>
              <w:rPr>
                <w:rFonts w:ascii="Times New Roman" w:hAnsi="Times New Roman"/>
                <w:sz w:val="18"/>
              </w:rPr>
              <w:t>0.2334</w:t>
            </w:r>
          </w:p>
        </w:tc>
        <w:tc>
          <w:tcPr>
            <w:tcW w:type="dxa" w:w="1140"/>
            <w:shd w:val="clear" w:color="auto" w:fill="FFFFFF"/>
          </w:tcPr>
          <w:p>
            <w:r>
              <w:rPr>
                <w:rFonts w:ascii="Times New Roman" w:hAnsi="Times New Roman"/>
                <w:sz w:val="18"/>
              </w:rPr>
              <w:t>monitorear</w:t>
            </w:r>
          </w:p>
        </w:tc>
      </w:tr>
      <w:tr>
        <w:tc>
          <w:tcPr>
            <w:tcW w:type="dxa" w:w="1140"/>
            <w:shd w:val="clear" w:color="auto" w:fill="E8F0FE"/>
          </w:tcPr>
          <w:p>
            <w:r>
              <w:rPr>
                <w:rFonts w:ascii="Times New Roman" w:hAnsi="Times New Roman"/>
                <w:sz w:val="18"/>
              </w:rPr>
              <w:t>banda_dti</w:t>
            </w:r>
          </w:p>
        </w:tc>
        <w:tc>
          <w:tcPr>
            <w:tcW w:type="dxa" w:w="1140"/>
            <w:shd w:val="clear" w:color="auto" w:fill="E8F0FE"/>
          </w:tcPr>
          <w:p>
            <w:r>
              <w:rPr>
                <w:rFonts w:ascii="Times New Roman" w:hAnsi="Times New Roman"/>
                <w:sz w:val="18"/>
              </w:rPr>
              <w:t>36-43</w:t>
            </w:r>
          </w:p>
        </w:tc>
        <w:tc>
          <w:tcPr>
            <w:tcW w:type="dxa" w:w="1140"/>
            <w:shd w:val="clear" w:color="auto" w:fill="E8F0FE"/>
          </w:tcPr>
          <w:p>
            <w:r>
              <w:rPr>
                <w:rFonts w:ascii="Times New Roman" w:hAnsi="Times New Roman"/>
                <w:sz w:val="18"/>
              </w:rPr>
              <w:t>105114</w:t>
            </w:r>
          </w:p>
        </w:tc>
        <w:tc>
          <w:tcPr>
            <w:tcW w:type="dxa" w:w="1140"/>
            <w:shd w:val="clear" w:color="auto" w:fill="E8F0FE"/>
          </w:tcPr>
          <w:p>
            <w:r>
              <w:rPr>
                <w:rFonts w:ascii="Times New Roman" w:hAnsi="Times New Roman"/>
                <w:sz w:val="18"/>
              </w:rPr>
              <w:t>0.0029</w:t>
            </w:r>
          </w:p>
        </w:tc>
        <w:tc>
          <w:tcPr>
            <w:tcW w:type="dxa" w:w="1140"/>
            <w:shd w:val="clear" w:color="auto" w:fill="E8F0FE"/>
          </w:tcPr>
          <w:p>
            <w:r>
              <w:rPr>
                <w:rFonts w:ascii="Times New Roman" w:hAnsi="Times New Roman"/>
                <w:sz w:val="18"/>
              </w:rPr>
              <w:t>0.8445</w:t>
            </w:r>
          </w:p>
        </w:tc>
        <w:tc>
          <w:tcPr>
            <w:tcW w:type="dxa" w:w="1140"/>
            <w:shd w:val="clear" w:color="auto" w:fill="E8F0FE"/>
          </w:tcPr>
          <w:p>
            <w:r>
              <w:rPr>
                <w:rFonts w:ascii="Times New Roman" w:hAnsi="Times New Roman"/>
                <w:sz w:val="18"/>
              </w:rPr>
              <w:t>0.5426</w:t>
            </w:r>
          </w:p>
        </w:tc>
        <w:tc>
          <w:tcPr>
            <w:tcW w:type="dxa" w:w="1140"/>
            <w:shd w:val="clear" w:color="auto" w:fill="E8F0FE"/>
          </w:tcPr>
          <w:p>
            <w:r>
              <w:rPr>
                <w:rFonts w:ascii="Times New Roman" w:hAnsi="Times New Roman"/>
                <w:sz w:val="18"/>
              </w:rPr>
              <w:t>0.2860</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banda_dti</w:t>
            </w:r>
          </w:p>
        </w:tc>
        <w:tc>
          <w:tcPr>
            <w:tcW w:type="dxa" w:w="1140"/>
            <w:shd w:val="clear" w:color="auto" w:fill="FFFFFF"/>
          </w:tcPr>
          <w:p>
            <w:r>
              <w:rPr>
                <w:rFonts w:ascii="Times New Roman" w:hAnsi="Times New Roman"/>
                <w:sz w:val="18"/>
              </w:rPr>
              <w:t>&lt;=30</w:t>
            </w:r>
          </w:p>
        </w:tc>
        <w:tc>
          <w:tcPr>
            <w:tcW w:type="dxa" w:w="1140"/>
            <w:shd w:val="clear" w:color="auto" w:fill="FFFFFF"/>
          </w:tcPr>
          <w:p>
            <w:r>
              <w:rPr>
                <w:rFonts w:ascii="Times New Roman" w:hAnsi="Times New Roman"/>
                <w:sz w:val="18"/>
              </w:rPr>
              <w:t>80483</w:t>
            </w:r>
          </w:p>
        </w:tc>
        <w:tc>
          <w:tcPr>
            <w:tcW w:type="dxa" w:w="1140"/>
            <w:shd w:val="clear" w:color="auto" w:fill="FFFFFF"/>
          </w:tcPr>
          <w:p>
            <w:r>
              <w:rPr>
                <w:rFonts w:ascii="Times New Roman" w:hAnsi="Times New Roman"/>
                <w:sz w:val="18"/>
              </w:rPr>
              <w:t>0.0007</w:t>
            </w:r>
          </w:p>
        </w:tc>
        <w:tc>
          <w:tcPr>
            <w:tcW w:type="dxa" w:w="1140"/>
            <w:shd w:val="clear" w:color="auto" w:fill="FFFFFF"/>
          </w:tcPr>
          <w:p>
            <w:r>
              <w:rPr>
                <w:rFonts w:ascii="Times New Roman" w:hAnsi="Times New Roman"/>
                <w:sz w:val="18"/>
              </w:rPr>
              <w:t>0.8689</w:t>
            </w:r>
          </w:p>
        </w:tc>
        <w:tc>
          <w:tcPr>
            <w:tcW w:type="dxa" w:w="1140"/>
            <w:shd w:val="clear" w:color="auto" w:fill="FFFFFF"/>
          </w:tcPr>
          <w:p>
            <w:r>
              <w:rPr>
                <w:rFonts w:ascii="Times New Roman" w:hAnsi="Times New Roman"/>
                <w:sz w:val="18"/>
              </w:rPr>
              <w:t>0.5990</w:t>
            </w:r>
          </w:p>
        </w:tc>
        <w:tc>
          <w:tcPr>
            <w:tcW w:type="dxa" w:w="1140"/>
            <w:shd w:val="clear" w:color="auto" w:fill="FFFFFF"/>
          </w:tcPr>
          <w:p>
            <w:r>
              <w:rPr>
                <w:rFonts w:ascii="Times New Roman" w:hAnsi="Times New Roman"/>
                <w:sz w:val="18"/>
              </w:rPr>
              <w:t>0.2364</w:t>
            </w:r>
          </w:p>
        </w:tc>
        <w:tc>
          <w:tcPr>
            <w:tcW w:type="dxa" w:w="1140"/>
            <w:shd w:val="clear" w:color="auto" w:fill="FFFFFF"/>
          </w:tcPr>
          <w:p>
            <w:r>
              <w:rPr>
                <w:rFonts w:ascii="Times New Roman" w:hAnsi="Times New Roman"/>
                <w:sz w:val="18"/>
              </w:rPr>
              <w:t>monitorear</w:t>
            </w:r>
          </w:p>
        </w:tc>
      </w:tr>
      <w:tr>
        <w:tc>
          <w:tcPr>
            <w:tcW w:type="dxa" w:w="1140"/>
            <w:shd w:val="clear" w:color="auto" w:fill="E8F0FE"/>
          </w:tcPr>
          <w:p>
            <w:r>
              <w:rPr>
                <w:rFonts w:ascii="Times New Roman" w:hAnsi="Times New Roman"/>
                <w:sz w:val="18"/>
              </w:rPr>
              <w:t>banda_dti</w:t>
            </w:r>
          </w:p>
        </w:tc>
        <w:tc>
          <w:tcPr>
            <w:tcW w:type="dxa" w:w="1140"/>
            <w:shd w:val="clear" w:color="auto" w:fill="E8F0FE"/>
          </w:tcPr>
          <w:p>
            <w:r>
              <w:rPr>
                <w:rFonts w:ascii="Times New Roman" w:hAnsi="Times New Roman"/>
                <w:sz w:val="18"/>
              </w:rPr>
              <w:t>&gt;43</w:t>
            </w:r>
          </w:p>
        </w:tc>
        <w:tc>
          <w:tcPr>
            <w:tcW w:type="dxa" w:w="1140"/>
            <w:shd w:val="clear" w:color="auto" w:fill="E8F0FE"/>
          </w:tcPr>
          <w:p>
            <w:r>
              <w:rPr>
                <w:rFonts w:ascii="Times New Roman" w:hAnsi="Times New Roman"/>
                <w:sz w:val="18"/>
              </w:rPr>
              <w:t>160133</w:t>
            </w:r>
          </w:p>
        </w:tc>
        <w:tc>
          <w:tcPr>
            <w:tcW w:type="dxa" w:w="1140"/>
            <w:shd w:val="clear" w:color="auto" w:fill="E8F0FE"/>
          </w:tcPr>
          <w:p>
            <w:r>
              <w:rPr>
                <w:rFonts w:ascii="Times New Roman" w:hAnsi="Times New Roman"/>
                <w:sz w:val="18"/>
              </w:rPr>
              <w:t>0.0043</w:t>
            </w:r>
          </w:p>
        </w:tc>
        <w:tc>
          <w:tcPr>
            <w:tcW w:type="dxa" w:w="1140"/>
            <w:shd w:val="clear" w:color="auto" w:fill="E8F0FE"/>
          </w:tcPr>
          <w:p>
            <w:r>
              <w:rPr>
                <w:rFonts w:ascii="Times New Roman" w:hAnsi="Times New Roman"/>
                <w:sz w:val="18"/>
              </w:rPr>
              <w:t>0.8187</w:t>
            </w:r>
          </w:p>
        </w:tc>
        <w:tc>
          <w:tcPr>
            <w:tcW w:type="dxa" w:w="1140"/>
            <w:shd w:val="clear" w:color="auto" w:fill="E8F0FE"/>
          </w:tcPr>
          <w:p>
            <w:r>
              <w:rPr>
                <w:rFonts w:ascii="Times New Roman" w:hAnsi="Times New Roman"/>
                <w:sz w:val="18"/>
              </w:rPr>
              <w:t>0.4576</w:t>
            </w:r>
          </w:p>
        </w:tc>
        <w:tc>
          <w:tcPr>
            <w:tcW w:type="dxa" w:w="1140"/>
            <w:shd w:val="clear" w:color="auto" w:fill="E8F0FE"/>
          </w:tcPr>
          <w:p>
            <w:r>
              <w:rPr>
                <w:rFonts w:ascii="Times New Roman" w:hAnsi="Times New Roman"/>
                <w:sz w:val="18"/>
              </w:rPr>
              <w:t>0.4290</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proposito</w:t>
            </w:r>
          </w:p>
        </w:tc>
        <w:tc>
          <w:tcPr>
            <w:tcW w:type="dxa" w:w="1140"/>
            <w:shd w:val="clear" w:color="auto" w:fill="FFFFFF"/>
          </w:tcPr>
          <w:p>
            <w:r>
              <w:rPr>
                <w:rFonts w:ascii="Times New Roman" w:hAnsi="Times New Roman"/>
                <w:sz w:val="18"/>
              </w:rPr>
              <w:t>C (refi cash-out)</w:t>
            </w:r>
          </w:p>
        </w:tc>
        <w:tc>
          <w:tcPr>
            <w:tcW w:type="dxa" w:w="1140"/>
            <w:shd w:val="clear" w:color="auto" w:fill="FFFFFF"/>
          </w:tcPr>
          <w:p>
            <w:r>
              <w:rPr>
                <w:rFonts w:ascii="Times New Roman" w:hAnsi="Times New Roman"/>
                <w:sz w:val="18"/>
              </w:rPr>
              <w:t>51241</w:t>
            </w:r>
          </w:p>
        </w:tc>
        <w:tc>
          <w:tcPr>
            <w:tcW w:type="dxa" w:w="1140"/>
            <w:shd w:val="clear" w:color="auto" w:fill="FFFFFF"/>
          </w:tcPr>
          <w:p>
            <w:r>
              <w:rPr>
                <w:rFonts w:ascii="Times New Roman" w:hAnsi="Times New Roman"/>
                <w:sz w:val="18"/>
              </w:rPr>
              <w:t>0.0040</w:t>
            </w:r>
          </w:p>
        </w:tc>
        <w:tc>
          <w:tcPr>
            <w:tcW w:type="dxa" w:w="1140"/>
            <w:shd w:val="clear" w:color="auto" w:fill="FFFFFF"/>
          </w:tcPr>
          <w:p>
            <w:r>
              <w:rPr>
                <w:rFonts w:ascii="Times New Roman" w:hAnsi="Times New Roman"/>
                <w:sz w:val="18"/>
              </w:rPr>
              <w:t>0.7974</w:t>
            </w:r>
          </w:p>
        </w:tc>
        <w:tc>
          <w:tcPr>
            <w:tcW w:type="dxa" w:w="1140"/>
            <w:shd w:val="clear" w:color="auto" w:fill="FFFFFF"/>
          </w:tcPr>
          <w:p>
            <w:r>
              <w:rPr>
                <w:rFonts w:ascii="Times New Roman" w:hAnsi="Times New Roman"/>
                <w:sz w:val="18"/>
              </w:rPr>
              <w:t>0.4446</w:t>
            </w:r>
          </w:p>
        </w:tc>
        <w:tc>
          <w:tcPr>
            <w:tcW w:type="dxa" w:w="1140"/>
            <w:shd w:val="clear" w:color="auto" w:fill="FFFFFF"/>
          </w:tcPr>
          <w:p>
            <w:r>
              <w:rPr>
                <w:rFonts w:ascii="Times New Roman" w:hAnsi="Times New Roman"/>
                <w:sz w:val="18"/>
              </w:rPr>
              <w:t>0.4052</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proposito</w:t>
            </w:r>
          </w:p>
        </w:tc>
        <w:tc>
          <w:tcPr>
            <w:tcW w:type="dxa" w:w="1140"/>
            <w:shd w:val="clear" w:color="auto" w:fill="E8F0FE"/>
          </w:tcPr>
          <w:p>
            <w:r>
              <w:rPr>
                <w:rFonts w:ascii="Times New Roman" w:hAnsi="Times New Roman"/>
                <w:sz w:val="18"/>
              </w:rPr>
              <w:t>N (refi no cash-out)</w:t>
            </w:r>
          </w:p>
        </w:tc>
        <w:tc>
          <w:tcPr>
            <w:tcW w:type="dxa" w:w="1140"/>
            <w:shd w:val="clear" w:color="auto" w:fill="E8F0FE"/>
          </w:tcPr>
          <w:p>
            <w:r>
              <w:rPr>
                <w:rFonts w:ascii="Times New Roman" w:hAnsi="Times New Roman"/>
                <w:sz w:val="18"/>
              </w:rPr>
              <w:t>28067</w:t>
            </w:r>
          </w:p>
        </w:tc>
        <w:tc>
          <w:tcPr>
            <w:tcW w:type="dxa" w:w="1140"/>
            <w:shd w:val="clear" w:color="auto" w:fill="E8F0FE"/>
          </w:tcPr>
          <w:p>
            <w:r>
              <w:rPr>
                <w:rFonts w:ascii="Times New Roman" w:hAnsi="Times New Roman"/>
                <w:sz w:val="18"/>
              </w:rPr>
              <w:t>0.0047</w:t>
            </w:r>
          </w:p>
        </w:tc>
        <w:tc>
          <w:tcPr>
            <w:tcW w:type="dxa" w:w="1140"/>
            <w:shd w:val="clear" w:color="auto" w:fill="E8F0FE"/>
          </w:tcPr>
          <w:p>
            <w:r>
              <w:rPr>
                <w:rFonts w:ascii="Times New Roman" w:hAnsi="Times New Roman"/>
                <w:sz w:val="18"/>
              </w:rPr>
              <w:t>0.9333</w:t>
            </w:r>
          </w:p>
        </w:tc>
        <w:tc>
          <w:tcPr>
            <w:tcW w:type="dxa" w:w="1140"/>
            <w:shd w:val="clear" w:color="auto" w:fill="E8F0FE"/>
          </w:tcPr>
          <w:p>
            <w:r>
              <w:rPr>
                <w:rFonts w:ascii="Times New Roman" w:hAnsi="Times New Roman"/>
                <w:sz w:val="18"/>
              </w:rPr>
              <w:t>0.7254</w:t>
            </w:r>
          </w:p>
        </w:tc>
        <w:tc>
          <w:tcPr>
            <w:tcW w:type="dxa" w:w="1140"/>
            <w:shd w:val="clear" w:color="auto" w:fill="E8F0FE"/>
          </w:tcPr>
          <w:p>
            <w:r>
              <w:rPr>
                <w:rFonts w:ascii="Times New Roman" w:hAnsi="Times New Roman"/>
                <w:sz w:val="18"/>
              </w:rPr>
              <w:t>0.3988</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proposito</w:t>
            </w:r>
          </w:p>
        </w:tc>
        <w:tc>
          <w:tcPr>
            <w:tcW w:type="dxa" w:w="1140"/>
            <w:shd w:val="clear" w:color="auto" w:fill="FFFFFF"/>
          </w:tcPr>
          <w:p>
            <w:r>
              <w:rPr>
                <w:rFonts w:ascii="Times New Roman" w:hAnsi="Times New Roman"/>
                <w:sz w:val="18"/>
              </w:rPr>
              <w:t>P (compra)</w:t>
            </w:r>
          </w:p>
        </w:tc>
        <w:tc>
          <w:tcPr>
            <w:tcW w:type="dxa" w:w="1140"/>
            <w:shd w:val="clear" w:color="auto" w:fill="FFFFFF"/>
          </w:tcPr>
          <w:p>
            <w:r>
              <w:rPr>
                <w:rFonts w:ascii="Times New Roman" w:hAnsi="Times New Roman"/>
                <w:sz w:val="18"/>
              </w:rPr>
              <w:t>332757</w:t>
            </w:r>
          </w:p>
        </w:tc>
        <w:tc>
          <w:tcPr>
            <w:tcW w:type="dxa" w:w="1140"/>
            <w:shd w:val="clear" w:color="auto" w:fill="FFFFFF"/>
          </w:tcPr>
          <w:p>
            <w:r>
              <w:rPr>
                <w:rFonts w:ascii="Times New Roman" w:hAnsi="Times New Roman"/>
                <w:sz w:val="18"/>
              </w:rPr>
              <w:t>0.0027</w:t>
            </w:r>
          </w:p>
        </w:tc>
        <w:tc>
          <w:tcPr>
            <w:tcW w:type="dxa" w:w="1140"/>
            <w:shd w:val="clear" w:color="auto" w:fill="FFFFFF"/>
          </w:tcPr>
          <w:p>
            <w:r>
              <w:rPr>
                <w:rFonts w:ascii="Times New Roman" w:hAnsi="Times New Roman"/>
                <w:sz w:val="18"/>
              </w:rPr>
              <w:t>0.8552</w:t>
            </w:r>
          </w:p>
        </w:tc>
        <w:tc>
          <w:tcPr>
            <w:tcW w:type="dxa" w:w="1140"/>
            <w:shd w:val="clear" w:color="auto" w:fill="FFFFFF"/>
          </w:tcPr>
          <w:p>
            <w:r>
              <w:rPr>
                <w:rFonts w:ascii="Times New Roman" w:hAnsi="Times New Roman"/>
                <w:sz w:val="18"/>
              </w:rPr>
              <w:t>0.5483</w:t>
            </w:r>
          </w:p>
        </w:tc>
        <w:tc>
          <w:tcPr>
            <w:tcW w:type="dxa" w:w="1140"/>
            <w:shd w:val="clear" w:color="auto" w:fill="FFFFFF"/>
          </w:tcPr>
          <w:p>
            <w:r>
              <w:rPr>
                <w:rFonts w:ascii="Times New Roman" w:hAnsi="Times New Roman"/>
                <w:sz w:val="18"/>
              </w:rPr>
              <w:t>0.2061</w:t>
            </w:r>
          </w:p>
        </w:tc>
        <w:tc>
          <w:tcPr>
            <w:tcW w:type="dxa" w:w="1140"/>
            <w:shd w:val="clear" w:color="auto" w:fill="FFFFFF"/>
          </w:tcPr>
          <w:p>
            <w:r>
              <w:rPr>
                <w:rFonts w:ascii="Times New Roman" w:hAnsi="Times New Roman"/>
                <w:sz w:val="18"/>
              </w:rPr>
              <w:t>monitorear</w:t>
            </w:r>
          </w:p>
        </w:tc>
      </w:tr>
      <w:tr>
        <w:tc>
          <w:tcPr>
            <w:tcW w:type="dxa" w:w="1140"/>
            <w:shd w:val="clear" w:color="auto" w:fill="E8F0FE"/>
          </w:tcPr>
          <w:p>
            <w:r>
              <w:rPr>
                <w:rFonts w:ascii="Times New Roman" w:hAnsi="Times New Roman"/>
                <w:sz w:val="18"/>
              </w:rPr>
              <w:t>ocupacion</w:t>
            </w:r>
          </w:p>
        </w:tc>
        <w:tc>
          <w:tcPr>
            <w:tcW w:type="dxa" w:w="1140"/>
            <w:shd w:val="clear" w:color="auto" w:fill="E8F0FE"/>
          </w:tcPr>
          <w:p>
            <w:r>
              <w:rPr>
                <w:rFonts w:ascii="Times New Roman" w:hAnsi="Times New Roman"/>
                <w:sz w:val="18"/>
              </w:rPr>
              <w:t>P (primaria)</w:t>
            </w:r>
          </w:p>
        </w:tc>
        <w:tc>
          <w:tcPr>
            <w:tcW w:type="dxa" w:w="1140"/>
            <w:shd w:val="clear" w:color="auto" w:fill="E8F0FE"/>
          </w:tcPr>
          <w:p>
            <w:r>
              <w:rPr>
                <w:rFonts w:ascii="Times New Roman" w:hAnsi="Times New Roman"/>
                <w:sz w:val="18"/>
              </w:rPr>
              <w:t>377420</w:t>
            </w:r>
          </w:p>
        </w:tc>
        <w:tc>
          <w:tcPr>
            <w:tcW w:type="dxa" w:w="1140"/>
            <w:shd w:val="clear" w:color="auto" w:fill="E8F0FE"/>
          </w:tcPr>
          <w:p>
            <w:r>
              <w:rPr>
                <w:rFonts w:ascii="Times New Roman" w:hAnsi="Times New Roman"/>
                <w:sz w:val="18"/>
              </w:rPr>
              <w:t>0.0032</w:t>
            </w:r>
          </w:p>
        </w:tc>
        <w:tc>
          <w:tcPr>
            <w:tcW w:type="dxa" w:w="1140"/>
            <w:shd w:val="clear" w:color="auto" w:fill="E8F0FE"/>
          </w:tcPr>
          <w:p>
            <w:r>
              <w:rPr>
                <w:rFonts w:ascii="Times New Roman" w:hAnsi="Times New Roman"/>
                <w:sz w:val="18"/>
              </w:rPr>
              <w:t>0.8513</w:t>
            </w:r>
          </w:p>
        </w:tc>
        <w:tc>
          <w:tcPr>
            <w:tcW w:type="dxa" w:w="1140"/>
            <w:shd w:val="clear" w:color="auto" w:fill="E8F0FE"/>
          </w:tcPr>
          <w:p>
            <w:r>
              <w:rPr>
                <w:rFonts w:ascii="Times New Roman" w:hAnsi="Times New Roman"/>
                <w:sz w:val="18"/>
              </w:rPr>
              <w:t>0.5376</w:t>
            </w:r>
          </w:p>
        </w:tc>
        <w:tc>
          <w:tcPr>
            <w:tcW w:type="dxa" w:w="1140"/>
            <w:shd w:val="clear" w:color="auto" w:fill="E8F0FE"/>
          </w:tcPr>
          <w:p>
            <w:r>
              <w:rPr>
                <w:rFonts w:ascii="Times New Roman" w:hAnsi="Times New Roman"/>
                <w:sz w:val="18"/>
              </w:rPr>
              <w:t>0.3314</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canal</w:t>
            </w:r>
          </w:p>
        </w:tc>
        <w:tc>
          <w:tcPr>
            <w:tcW w:type="dxa" w:w="1140"/>
            <w:shd w:val="clear" w:color="auto" w:fill="FFFFFF"/>
          </w:tcPr>
          <w:p>
            <w:r>
              <w:rPr>
                <w:rFonts w:ascii="Times New Roman" w:hAnsi="Times New Roman"/>
                <w:sz w:val="18"/>
              </w:rPr>
              <w:t>B (broker)</w:t>
            </w:r>
          </w:p>
        </w:tc>
        <w:tc>
          <w:tcPr>
            <w:tcW w:type="dxa" w:w="1140"/>
            <w:shd w:val="clear" w:color="auto" w:fill="FFFFFF"/>
          </w:tcPr>
          <w:p>
            <w:r>
              <w:rPr>
                <w:rFonts w:ascii="Times New Roman" w:hAnsi="Times New Roman"/>
                <w:sz w:val="18"/>
              </w:rPr>
              <w:t>66292</w:t>
            </w:r>
          </w:p>
        </w:tc>
        <w:tc>
          <w:tcPr>
            <w:tcW w:type="dxa" w:w="1140"/>
            <w:shd w:val="clear" w:color="auto" w:fill="FFFFFF"/>
          </w:tcPr>
          <w:p>
            <w:r>
              <w:rPr>
                <w:rFonts w:ascii="Times New Roman" w:hAnsi="Times New Roman"/>
                <w:sz w:val="18"/>
              </w:rPr>
              <w:t>0.0045</w:t>
            </w:r>
          </w:p>
        </w:tc>
        <w:tc>
          <w:tcPr>
            <w:tcW w:type="dxa" w:w="1140"/>
            <w:shd w:val="clear" w:color="auto" w:fill="FFFFFF"/>
          </w:tcPr>
          <w:p>
            <w:r>
              <w:rPr>
                <w:rFonts w:ascii="Times New Roman" w:hAnsi="Times New Roman"/>
                <w:sz w:val="18"/>
              </w:rPr>
              <w:t>0.8332</w:t>
            </w:r>
          </w:p>
        </w:tc>
        <w:tc>
          <w:tcPr>
            <w:tcW w:type="dxa" w:w="1140"/>
            <w:shd w:val="clear" w:color="auto" w:fill="FFFFFF"/>
          </w:tcPr>
          <w:p>
            <w:r>
              <w:rPr>
                <w:rFonts w:ascii="Times New Roman" w:hAnsi="Times New Roman"/>
                <w:sz w:val="18"/>
              </w:rPr>
              <w:t>0.5004</w:t>
            </w:r>
          </w:p>
        </w:tc>
        <w:tc>
          <w:tcPr>
            <w:tcW w:type="dxa" w:w="1140"/>
            <w:shd w:val="clear" w:color="auto" w:fill="FFFFFF"/>
          </w:tcPr>
          <w:p>
            <w:r>
              <w:rPr>
                <w:rFonts w:ascii="Times New Roman" w:hAnsi="Times New Roman"/>
                <w:sz w:val="18"/>
              </w:rPr>
              <w:t>0.3349</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canal</w:t>
            </w:r>
          </w:p>
        </w:tc>
        <w:tc>
          <w:tcPr>
            <w:tcW w:type="dxa" w:w="1140"/>
            <w:shd w:val="clear" w:color="auto" w:fill="E8F0FE"/>
          </w:tcPr>
          <w:p>
            <w:r>
              <w:rPr>
                <w:rFonts w:ascii="Times New Roman" w:hAnsi="Times New Roman"/>
                <w:sz w:val="18"/>
              </w:rPr>
              <w:t>C (correspondent)</w:t>
            </w:r>
          </w:p>
        </w:tc>
        <w:tc>
          <w:tcPr>
            <w:tcW w:type="dxa" w:w="1140"/>
            <w:shd w:val="clear" w:color="auto" w:fill="E8F0FE"/>
          </w:tcPr>
          <w:p>
            <w:r>
              <w:rPr>
                <w:rFonts w:ascii="Times New Roman" w:hAnsi="Times New Roman"/>
                <w:sz w:val="18"/>
              </w:rPr>
              <w:t>145180</w:t>
            </w:r>
          </w:p>
        </w:tc>
        <w:tc>
          <w:tcPr>
            <w:tcW w:type="dxa" w:w="1140"/>
            <w:shd w:val="clear" w:color="auto" w:fill="E8F0FE"/>
          </w:tcPr>
          <w:p>
            <w:r>
              <w:rPr>
                <w:rFonts w:ascii="Times New Roman" w:hAnsi="Times New Roman"/>
                <w:sz w:val="18"/>
              </w:rPr>
              <w:t>0.0030</w:t>
            </w:r>
          </w:p>
        </w:tc>
        <w:tc>
          <w:tcPr>
            <w:tcW w:type="dxa" w:w="1140"/>
            <w:shd w:val="clear" w:color="auto" w:fill="E8F0FE"/>
          </w:tcPr>
          <w:p>
            <w:r>
              <w:rPr>
                <w:rFonts w:ascii="Times New Roman" w:hAnsi="Times New Roman"/>
                <w:sz w:val="18"/>
              </w:rPr>
              <w:t>0.8288</w:t>
            </w:r>
          </w:p>
        </w:tc>
        <w:tc>
          <w:tcPr>
            <w:tcW w:type="dxa" w:w="1140"/>
            <w:shd w:val="clear" w:color="auto" w:fill="E8F0FE"/>
          </w:tcPr>
          <w:p>
            <w:r>
              <w:rPr>
                <w:rFonts w:ascii="Times New Roman" w:hAnsi="Times New Roman"/>
                <w:sz w:val="18"/>
              </w:rPr>
              <w:t>0.4942</w:t>
            </w:r>
          </w:p>
        </w:tc>
        <w:tc>
          <w:tcPr>
            <w:tcW w:type="dxa" w:w="1140"/>
            <w:shd w:val="clear" w:color="auto" w:fill="E8F0FE"/>
          </w:tcPr>
          <w:p>
            <w:r>
              <w:rPr>
                <w:rFonts w:ascii="Times New Roman" w:hAnsi="Times New Roman"/>
                <w:sz w:val="18"/>
              </w:rPr>
              <w:t>0.2668</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canal</w:t>
            </w:r>
          </w:p>
        </w:tc>
        <w:tc>
          <w:tcPr>
            <w:tcW w:type="dxa" w:w="1140"/>
            <w:shd w:val="clear" w:color="auto" w:fill="FFFFFF"/>
          </w:tcPr>
          <w:p>
            <w:r>
              <w:rPr>
                <w:rFonts w:ascii="Times New Roman" w:hAnsi="Times New Roman"/>
                <w:sz w:val="18"/>
              </w:rPr>
              <w:t>R (retail)</w:t>
            </w:r>
          </w:p>
        </w:tc>
        <w:tc>
          <w:tcPr>
            <w:tcW w:type="dxa" w:w="1140"/>
            <w:shd w:val="clear" w:color="auto" w:fill="FFFFFF"/>
          </w:tcPr>
          <w:p>
            <w:r>
              <w:rPr>
                <w:rFonts w:ascii="Times New Roman" w:hAnsi="Times New Roman"/>
                <w:sz w:val="18"/>
              </w:rPr>
              <w:t>200593</w:t>
            </w:r>
          </w:p>
        </w:tc>
        <w:tc>
          <w:tcPr>
            <w:tcW w:type="dxa" w:w="1140"/>
            <w:shd w:val="clear" w:color="auto" w:fill="FFFFFF"/>
          </w:tcPr>
          <w:p>
            <w:r>
              <w:rPr>
                <w:rFonts w:ascii="Times New Roman" w:hAnsi="Times New Roman"/>
                <w:sz w:val="18"/>
              </w:rPr>
              <w:t>0.0025</w:t>
            </w:r>
          </w:p>
        </w:tc>
        <w:tc>
          <w:tcPr>
            <w:tcW w:type="dxa" w:w="1140"/>
            <w:shd w:val="clear" w:color="auto" w:fill="FFFFFF"/>
          </w:tcPr>
          <w:p>
            <w:r>
              <w:rPr>
                <w:rFonts w:ascii="Times New Roman" w:hAnsi="Times New Roman"/>
                <w:sz w:val="18"/>
              </w:rPr>
              <w:t>0.8848</w:t>
            </w:r>
          </w:p>
        </w:tc>
        <w:tc>
          <w:tcPr>
            <w:tcW w:type="dxa" w:w="1140"/>
            <w:shd w:val="clear" w:color="auto" w:fill="FFFFFF"/>
          </w:tcPr>
          <w:p>
            <w:r>
              <w:rPr>
                <w:rFonts w:ascii="Times New Roman" w:hAnsi="Times New Roman"/>
                <w:sz w:val="18"/>
              </w:rPr>
              <w:t>0.6112</w:t>
            </w:r>
          </w:p>
        </w:tc>
        <w:tc>
          <w:tcPr>
            <w:tcW w:type="dxa" w:w="1140"/>
            <w:shd w:val="clear" w:color="auto" w:fill="FFFFFF"/>
          </w:tcPr>
          <w:p>
            <w:r>
              <w:rPr>
                <w:rFonts w:ascii="Times New Roman" w:hAnsi="Times New Roman"/>
                <w:sz w:val="18"/>
              </w:rPr>
              <w:t>0.3580</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tipo_prop</w:t>
            </w:r>
          </w:p>
        </w:tc>
        <w:tc>
          <w:tcPr>
            <w:tcW w:type="dxa" w:w="1140"/>
            <w:shd w:val="clear" w:color="auto" w:fill="E8F0FE"/>
          </w:tcPr>
          <w:p>
            <w:r>
              <w:rPr>
                <w:rFonts w:ascii="Times New Roman" w:hAnsi="Times New Roman"/>
                <w:sz w:val="18"/>
              </w:rPr>
              <w:t>CO (condominio)</w:t>
            </w:r>
          </w:p>
        </w:tc>
        <w:tc>
          <w:tcPr>
            <w:tcW w:type="dxa" w:w="1140"/>
            <w:shd w:val="clear" w:color="auto" w:fill="E8F0FE"/>
          </w:tcPr>
          <w:p>
            <w:r>
              <w:rPr>
                <w:rFonts w:ascii="Times New Roman" w:hAnsi="Times New Roman"/>
                <w:sz w:val="18"/>
              </w:rPr>
              <w:t>38971</w:t>
            </w:r>
          </w:p>
        </w:tc>
        <w:tc>
          <w:tcPr>
            <w:tcW w:type="dxa" w:w="1140"/>
            <w:shd w:val="clear" w:color="auto" w:fill="E8F0FE"/>
          </w:tcPr>
          <w:p>
            <w:r>
              <w:rPr>
                <w:rFonts w:ascii="Times New Roman" w:hAnsi="Times New Roman"/>
                <w:sz w:val="18"/>
              </w:rPr>
              <w:t>0.0023</w:t>
            </w:r>
          </w:p>
        </w:tc>
        <w:tc>
          <w:tcPr>
            <w:tcW w:type="dxa" w:w="1140"/>
            <w:shd w:val="clear" w:color="auto" w:fill="E8F0FE"/>
          </w:tcPr>
          <w:p>
            <w:r>
              <w:rPr>
                <w:rFonts w:ascii="Times New Roman" w:hAnsi="Times New Roman"/>
                <w:sz w:val="18"/>
              </w:rPr>
              <w:t>0.8327</w:t>
            </w:r>
          </w:p>
        </w:tc>
        <w:tc>
          <w:tcPr>
            <w:tcW w:type="dxa" w:w="1140"/>
            <w:shd w:val="clear" w:color="auto" w:fill="E8F0FE"/>
          </w:tcPr>
          <w:p>
            <w:r>
              <w:rPr>
                <w:rFonts w:ascii="Times New Roman" w:hAnsi="Times New Roman"/>
                <w:sz w:val="18"/>
              </w:rPr>
              <w:t>0.4935</w:t>
            </w:r>
          </w:p>
        </w:tc>
        <w:tc>
          <w:tcPr>
            <w:tcW w:type="dxa" w:w="1140"/>
            <w:shd w:val="clear" w:color="auto" w:fill="E8F0FE"/>
          </w:tcPr>
          <w:p>
            <w:r>
              <w:rPr>
                <w:rFonts w:ascii="Times New Roman" w:hAnsi="Times New Roman"/>
                <w:sz w:val="18"/>
              </w:rPr>
              <w:t>0.2735</w:t>
            </w:r>
          </w:p>
        </w:tc>
        <w:tc>
          <w:tcPr>
            <w:tcW w:type="dxa" w:w="1140"/>
            <w:shd w:val="clear" w:color="auto" w:fill="E8F0FE"/>
          </w:tcPr>
          <w:p>
            <w:r>
              <w:rPr>
                <w:rFonts w:ascii="Times New Roman" w:hAnsi="Times New Roman"/>
                <w:sz w:val="18"/>
              </w:rPr>
              <w:t>INESTABLE</w:t>
            </w:r>
          </w:p>
        </w:tc>
      </w:tr>
      <w:tr>
        <w:tc>
          <w:tcPr>
            <w:tcW w:type="dxa" w:w="1140"/>
            <w:shd w:val="clear" w:color="auto" w:fill="FFFFFF"/>
          </w:tcPr>
          <w:p>
            <w:r>
              <w:rPr>
                <w:rFonts w:ascii="Times New Roman" w:hAnsi="Times New Roman"/>
                <w:sz w:val="18"/>
              </w:rPr>
              <w:t>tipo_prop</w:t>
            </w:r>
          </w:p>
        </w:tc>
        <w:tc>
          <w:tcPr>
            <w:tcW w:type="dxa" w:w="1140"/>
            <w:shd w:val="clear" w:color="auto" w:fill="FFFFFF"/>
          </w:tcPr>
          <w:p>
            <w:r>
              <w:rPr>
                <w:rFonts w:ascii="Times New Roman" w:hAnsi="Times New Roman"/>
                <w:sz w:val="18"/>
              </w:rPr>
              <w:t>PU (PUD)</w:t>
            </w:r>
          </w:p>
        </w:tc>
        <w:tc>
          <w:tcPr>
            <w:tcW w:type="dxa" w:w="1140"/>
            <w:shd w:val="clear" w:color="auto" w:fill="FFFFFF"/>
          </w:tcPr>
          <w:p>
            <w:r>
              <w:rPr>
                <w:rFonts w:ascii="Times New Roman" w:hAnsi="Times New Roman"/>
                <w:sz w:val="18"/>
              </w:rPr>
              <w:t>126968</w:t>
            </w:r>
          </w:p>
        </w:tc>
        <w:tc>
          <w:tcPr>
            <w:tcW w:type="dxa" w:w="1140"/>
            <w:shd w:val="clear" w:color="auto" w:fill="FFFFFF"/>
          </w:tcPr>
          <w:p>
            <w:r>
              <w:rPr>
                <w:rFonts w:ascii="Times New Roman" w:hAnsi="Times New Roman"/>
                <w:sz w:val="18"/>
              </w:rPr>
              <w:t>0.0026</w:t>
            </w:r>
          </w:p>
        </w:tc>
        <w:tc>
          <w:tcPr>
            <w:tcW w:type="dxa" w:w="1140"/>
            <w:shd w:val="clear" w:color="auto" w:fill="FFFFFF"/>
          </w:tcPr>
          <w:p>
            <w:r>
              <w:rPr>
                <w:rFonts w:ascii="Times New Roman" w:hAnsi="Times New Roman"/>
                <w:sz w:val="18"/>
              </w:rPr>
              <w:t>0.8818</w:t>
            </w:r>
          </w:p>
        </w:tc>
        <w:tc>
          <w:tcPr>
            <w:tcW w:type="dxa" w:w="1140"/>
            <w:shd w:val="clear" w:color="auto" w:fill="FFFFFF"/>
          </w:tcPr>
          <w:p>
            <w:r>
              <w:rPr>
                <w:rFonts w:ascii="Times New Roman" w:hAnsi="Times New Roman"/>
                <w:sz w:val="18"/>
              </w:rPr>
              <w:t>0.5679</w:t>
            </w:r>
          </w:p>
        </w:tc>
        <w:tc>
          <w:tcPr>
            <w:tcW w:type="dxa" w:w="1140"/>
            <w:shd w:val="clear" w:color="auto" w:fill="FFFFFF"/>
          </w:tcPr>
          <w:p>
            <w:r>
              <w:rPr>
                <w:rFonts w:ascii="Times New Roman" w:hAnsi="Times New Roman"/>
                <w:sz w:val="18"/>
              </w:rPr>
              <w:t>0.2744</w:t>
            </w:r>
          </w:p>
        </w:tc>
        <w:tc>
          <w:tcPr>
            <w:tcW w:type="dxa" w:w="1140"/>
            <w:shd w:val="clear" w:color="auto" w:fill="FFFFFF"/>
          </w:tcPr>
          <w:p>
            <w:r>
              <w:rPr>
                <w:rFonts w:ascii="Times New Roman" w:hAnsi="Times New Roman"/>
                <w:sz w:val="18"/>
              </w:rPr>
              <w:t>INESTABLE</w:t>
            </w:r>
          </w:p>
        </w:tc>
      </w:tr>
      <w:tr>
        <w:tc>
          <w:tcPr>
            <w:tcW w:type="dxa" w:w="1140"/>
            <w:shd w:val="clear" w:color="auto" w:fill="E8F0FE"/>
          </w:tcPr>
          <w:p>
            <w:r>
              <w:rPr>
                <w:rFonts w:ascii="Times New Roman" w:hAnsi="Times New Roman"/>
                <w:sz w:val="18"/>
              </w:rPr>
              <w:t>tipo_prop</w:t>
            </w:r>
          </w:p>
        </w:tc>
        <w:tc>
          <w:tcPr>
            <w:tcW w:type="dxa" w:w="1140"/>
            <w:shd w:val="clear" w:color="auto" w:fill="E8F0FE"/>
          </w:tcPr>
          <w:p>
            <w:r>
              <w:rPr>
                <w:rFonts w:ascii="Times New Roman" w:hAnsi="Times New Roman"/>
                <w:sz w:val="18"/>
              </w:rPr>
              <w:t>SF (unifamiliar)</w:t>
            </w:r>
          </w:p>
        </w:tc>
        <w:tc>
          <w:tcPr>
            <w:tcW w:type="dxa" w:w="1140"/>
            <w:shd w:val="clear" w:color="auto" w:fill="E8F0FE"/>
          </w:tcPr>
          <w:p>
            <w:r>
              <w:rPr>
                <w:rFonts w:ascii="Times New Roman" w:hAnsi="Times New Roman"/>
                <w:sz w:val="18"/>
              </w:rPr>
              <w:t>240202</w:t>
            </w:r>
          </w:p>
        </w:tc>
        <w:tc>
          <w:tcPr>
            <w:tcW w:type="dxa" w:w="1140"/>
            <w:shd w:val="clear" w:color="auto" w:fill="E8F0FE"/>
          </w:tcPr>
          <w:p>
            <w:r>
              <w:rPr>
                <w:rFonts w:ascii="Times New Roman" w:hAnsi="Times New Roman"/>
                <w:sz w:val="18"/>
              </w:rPr>
              <w:t>0.0033</w:t>
            </w:r>
          </w:p>
        </w:tc>
        <w:tc>
          <w:tcPr>
            <w:tcW w:type="dxa" w:w="1140"/>
            <w:shd w:val="clear" w:color="auto" w:fill="E8F0FE"/>
          </w:tcPr>
          <w:p>
            <w:r>
              <w:rPr>
                <w:rFonts w:ascii="Times New Roman" w:hAnsi="Times New Roman"/>
                <w:sz w:val="18"/>
              </w:rPr>
              <w:t>0.8452</w:t>
            </w:r>
          </w:p>
        </w:tc>
        <w:tc>
          <w:tcPr>
            <w:tcW w:type="dxa" w:w="1140"/>
            <w:shd w:val="clear" w:color="auto" w:fill="E8F0FE"/>
          </w:tcPr>
          <w:p>
            <w:r>
              <w:rPr>
                <w:rFonts w:ascii="Times New Roman" w:hAnsi="Times New Roman"/>
                <w:sz w:val="18"/>
              </w:rPr>
              <w:t>0.5358</w:t>
            </w:r>
          </w:p>
        </w:tc>
        <w:tc>
          <w:tcPr>
            <w:tcW w:type="dxa" w:w="1140"/>
            <w:shd w:val="clear" w:color="auto" w:fill="E8F0FE"/>
          </w:tcPr>
          <w:p>
            <w:r>
              <w:rPr>
                <w:rFonts w:ascii="Times New Roman" w:hAnsi="Times New Roman"/>
                <w:sz w:val="18"/>
              </w:rPr>
              <w:t>0.3931</w:t>
            </w:r>
          </w:p>
        </w:tc>
        <w:tc>
          <w:tcPr>
            <w:tcW w:type="dxa" w:w="1140"/>
            <w:shd w:val="clear" w:color="auto" w:fill="E8F0FE"/>
          </w:tcPr>
          <w:p>
            <w:r>
              <w:rPr>
                <w:rFonts w:ascii="Times New Roman" w:hAnsi="Times New Roman"/>
                <w:sz w:val="18"/>
              </w:rPr>
              <w:t>INESTABLE</w:t>
            </w:r>
          </w:p>
        </w:tc>
      </w:tr>
    </w:tbl>
    <w:p/>
    <w:p>
      <w:pPr>
        <w:spacing w:before="0" w:after="120" w:line="360" w:lineRule="exact"/>
        <w:jc w:val="both"/>
      </w:pPr>
      <w:r>
        <w:rPr>
          <w:rFonts w:ascii="Times New Roman" w:hAnsi="Times New Roman"/>
          <w:b w:val="0"/>
          <w:i w:val="0"/>
          <w:sz w:val="24"/>
        </w:rPr>
        <w:t>La homogeneidad intra-segmento se evalúa mediante un test chi-cuadrado de independencia entre el default observado y una subpartición en cuartiles de una variable de riesgo ortogonal al criterio de segmentación (p. ej., LTV para las bandas de FICO). Dado el tamaño muestral (n &gt; 5,000 por segmento), el test rechaza la homogeneidad estricta (p &lt; 0.05) en la generalidad de los segmentos, un resultado esperado con potencia estadística tan alta: la dispersión relativa de la tasa de default entre cuartiles internos (dispersión_rel media = 0.724) es el diagnóstico económicamente relevante, y se mantiene acotada frente a la heterogeneidad inter-segmento.</w:t>
      </w:r>
    </w:p>
    <w:p>
      <w:pPr>
        <w:spacing w:before="0" w:after="120" w:line="360" w:lineRule="exact"/>
        <w:jc w:val="both"/>
      </w:pPr>
      <w:r>
        <w:rPr>
          <w:rFonts w:ascii="Times New Roman" w:hAnsi="Times New Roman"/>
          <w:b w:val="0"/>
          <w:i w:val="0"/>
          <w:sz w:val="24"/>
        </w:rPr>
        <w:t>La heterogeneidad inter-segmento se confirma en las siete dimensiones evaluadas: el test chi-cuadrado global es significativo (p &lt; 0,001) en todos los casos, con V de Cramér entre 0.0030 y 0.0848. La segmentación por banda de FICO exhibe la mayor heterogeneidad (V de Cramér más alto), consistente con su rol como principal driver de riesgo en el análisis SHAP (Sección 11).</w:t>
      </w:r>
    </w:p>
    <w:p>
      <w:pPr>
        <w:jc w:val="center"/>
      </w:pPr>
      <w:r>
        <w:drawing>
          <wp:inline xmlns:a="http://schemas.openxmlformats.org/drawingml/2006/main" xmlns:pic="http://schemas.openxmlformats.org/drawingml/2006/picture">
            <wp:extent cx="5040000" cy="1393003"/>
            <wp:docPr id="13" name="Picture 13"/>
            <wp:cNvGraphicFramePr>
              <a:graphicFrameLocks noChangeAspect="1"/>
            </wp:cNvGraphicFramePr>
            <a:graphic>
              <a:graphicData uri="http://schemas.openxmlformats.org/drawingml/2006/picture">
                <pic:pic>
                  <pic:nvPicPr>
                    <pic:cNvPr id="0" name="segmentacion_curvas_default.png"/>
                    <pic:cNvPicPr/>
                  </pic:nvPicPr>
                  <pic:blipFill>
                    <a:blip r:embed="rId21"/>
                    <a:stretch>
                      <a:fillRect/>
                    </a:stretch>
                  </pic:blipFill>
                  <pic:spPr>
                    <a:xfrm>
                      <a:off x="0" y="0"/>
                      <a:ext cx="5040000" cy="1393003"/>
                    </a:xfrm>
                    <a:prstGeom prst="rect"/>
                  </pic:spPr>
                </pic:pic>
              </a:graphicData>
            </a:graphic>
          </wp:inline>
        </w:drawing>
      </w:r>
    </w:p>
    <w:p>
      <w:pPr>
        <w:jc w:val="center"/>
      </w:pPr>
      <w:r>
        <w:rPr>
          <w:rFonts w:ascii="Times New Roman" w:hAnsi="Times New Roman"/>
          <w:b w:val="0"/>
          <w:i/>
          <w:sz w:val="20"/>
        </w:rPr>
        <w:t>Figura 13. Curvas de default acumuladas por segmento (evidencia de heterogeneidad).</w:t>
      </w:r>
    </w:p>
    <w:p/>
    <w:p>
      <w:pPr>
        <w:jc w:val="center"/>
      </w:pPr>
      <w:r>
        <w:drawing>
          <wp:inline xmlns:a="http://schemas.openxmlformats.org/drawingml/2006/main" xmlns:pic="http://schemas.openxmlformats.org/drawingml/2006/picture">
            <wp:extent cx="5040000" cy="4296705"/>
            <wp:docPr id="14" name="Picture 14"/>
            <wp:cNvGraphicFramePr>
              <a:graphicFrameLocks noChangeAspect="1"/>
            </wp:cNvGraphicFramePr>
            <a:graphic>
              <a:graphicData uri="http://schemas.openxmlformats.org/drawingml/2006/picture">
                <pic:pic>
                  <pic:nvPicPr>
                    <pic:cNvPr id="0" name="segmentacion_discriminacion.png"/>
                    <pic:cNvPicPr/>
                  </pic:nvPicPr>
                  <pic:blipFill>
                    <a:blip r:embed="rId22"/>
                    <a:stretch>
                      <a:fillRect/>
                    </a:stretch>
                  </pic:blipFill>
                  <pic:spPr>
                    <a:xfrm>
                      <a:off x="0" y="0"/>
                      <a:ext cx="5040000" cy="4296705"/>
                    </a:xfrm>
                    <a:prstGeom prst="rect"/>
                  </pic:spPr>
                </pic:pic>
              </a:graphicData>
            </a:graphic>
          </wp:inline>
        </w:drawing>
      </w:r>
    </w:p>
    <w:p>
      <w:pPr>
        <w:jc w:val="center"/>
      </w:pPr>
      <w:r>
        <w:rPr>
          <w:rFonts w:ascii="Times New Roman" w:hAnsi="Times New Roman"/>
          <w:b w:val="0"/>
          <w:i/>
          <w:sz w:val="20"/>
        </w:rPr>
        <w:t>Figura 14. AUC out-of-time del modelo por segmento.</w:t>
      </w:r>
    </w:p>
    <w:p/>
    <w:p>
      <w:pPr>
        <w:pStyle w:val="Heading2"/>
        <w:jc w:val="left"/>
      </w:pPr>
      <w:r>
        <w:rPr>
          <w:rFonts w:ascii="Times New Roman" w:hAnsi="Times New Roman"/>
          <w:b/>
          <w:color w:val="000000"/>
          <w:sz w:val="26"/>
        </w:rPr>
        <w:t>13.2 Criterios de Contagio Subjetivo y Agregación de Riesgo</w:t>
      </w:r>
    </w:p>
    <w:p>
      <w:pPr>
        <w:spacing w:before="0" w:after="120" w:line="360" w:lineRule="exact"/>
        <w:jc w:val="both"/>
      </w:pPr>
      <w:r>
        <w:rPr>
          <w:rFonts w:ascii="Times New Roman" w:hAnsi="Times New Roman"/>
          <w:b w:val="0"/>
          <w:i w:val="0"/>
          <w:sz w:val="24"/>
        </w:rPr>
        <w:t>EBA GL/2017/16 §5.1 exige una política formal de contagio de riesgo (pulling effect / status contagion) entre exposiciones vinculadas al mismo prestatario o grupo económico, de modo que el deterioro de una facilidad se propague razonablemente al resto de sus exposiciones.</w:t>
      </w:r>
    </w:p>
    <w:p>
      <w:pPr>
        <w:spacing w:before="0" w:after="120" w:line="360" w:lineRule="exact"/>
        <w:jc w:val="both"/>
      </w:pPr>
      <w:r>
        <w:rPr>
          <w:rFonts w:ascii="Times New Roman" w:hAnsi="Times New Roman"/>
          <w:b w:val="0"/>
          <w:i w:val="0"/>
          <w:sz w:val="24"/>
        </w:rPr>
        <w:t>Delimitación de alcance: el Freddie Mac Single-Family Loan-Level Dataset corresponde a cartera hipotecaria minorista individual, donde la unidad de análisis y de originación es la facilidad hipotecaria sobre una única propiedad. El dataset no identifica al prestatario de forma persistente entre operaciones (loan_sequence_number es un identificador de facilidad, no de cliente), por lo que no es posible reconstruir empíricamente relaciones de grupo económico o de exposiciones múltiples de un mismo titular dentro de esta fuente de datos pública.</w:t>
      </w:r>
    </w:p>
    <w:p>
      <w:pPr>
        <w:spacing w:before="0" w:after="120" w:line="360" w:lineRule="exact"/>
        <w:jc w:val="both"/>
      </w:pPr>
      <w:r>
        <w:rPr>
          <w:rFonts w:ascii="Times New Roman" w:hAnsi="Times New Roman"/>
          <w:b w:val="0"/>
          <w:i w:val="0"/>
          <w:sz w:val="24"/>
        </w:rPr>
        <w:t>No obstante, se formaliza la regla de arrastre a nivel prestatario / codeudor que debería aplicarse en una implementación productiva sobre datos con identificador de cliente:</w:t>
      </w:r>
    </w:p>
    <w:p>
      <w:pPr>
        <w:pStyle w:val="ListBullet"/>
      </w:pPr>
      <w:r>
        <w:rPr>
          <w:rFonts w:ascii="Times New Roman" w:hAnsi="Times New Roman"/>
          <w:b w:val="0"/>
          <w:i w:val="0"/>
          <w:sz w:val="22"/>
        </w:rPr>
        <w:t>Regla de arrastre (pulling effect): si cualquier facilidad de un prestatario (o de un codeudor común, dado que number_of_borrowers &gt; 1) se clasifica en Stage 3 (default), el resto de las exposiciones activas del mismo titular se reclasifica como mínimo a Stage 2, independientemente de su propio indicador de mora o de PD.</w:t>
      </w:r>
    </w:p>
    <w:p>
      <w:pPr>
        <w:pStyle w:val="ListBullet"/>
      </w:pPr>
      <w:r>
        <w:rPr>
          <w:rFonts w:ascii="Times New Roman" w:hAnsi="Times New Roman"/>
          <w:b w:val="0"/>
          <w:i w:val="0"/>
          <w:sz w:val="22"/>
        </w:rPr>
        <w:t>Ámbito de aplicación: la regla opera a nivel de grupo económico cuando existe información societaria (préstamos comerciales o corporativos); a nivel de prestatario/codeudor individual en cartera minorista, como es el caso de esta tesis.</w:t>
      </w:r>
    </w:p>
    <w:p>
      <w:pPr>
        <w:pStyle w:val="ListBullet"/>
      </w:pPr>
      <w:r>
        <w:rPr>
          <w:rFonts w:ascii="Times New Roman" w:hAnsi="Times New Roman"/>
          <w:b w:val="0"/>
          <w:i w:val="0"/>
          <w:sz w:val="22"/>
        </w:rPr>
        <w:t>Excepción documentada: la regla no se aplica cuando el default de la facilidad contagiante obedece a una causa idiosincrática y verificable ajena a la capacidad de pago del titular (p. ej., disputa contractual sobre un colateral distinto), sujeto a aprobación de la función de riesgo.</w:t>
      </w:r>
    </w:p>
    <w:p>
      <w:pPr>
        <w:spacing w:before="0" w:after="120" w:line="360" w:lineRule="exact"/>
        <w:jc w:val="both"/>
      </w:pPr>
      <w:r>
        <w:rPr>
          <w:rFonts w:ascii="Times New Roman" w:hAnsi="Times New Roman"/>
          <w:b w:val="0"/>
          <w:i w:val="0"/>
          <w:sz w:val="24"/>
        </w:rPr>
        <w:t>Esta delimitación de alcance no afecta la validez de las estimaciones de PD, LGD y EAD presentadas en las secciones 8 a 10: al tratarse de prestatarios con una única facilidad hipotecaria activa en la base (supuesto razonable dada la naturaleza minorista e individual de la cartera Freddie Mac), la unidad de análisis facilidad = prestatario coincide en la práctica totalidad de los casos.</w:t>
      </w:r>
    </w:p>
    <w:p>
      <w:pPr>
        <w:pStyle w:val="Heading2"/>
        <w:jc w:val="left"/>
      </w:pPr>
      <w:r>
        <w:rPr>
          <w:rFonts w:ascii="Times New Roman" w:hAnsi="Times New Roman"/>
          <w:b/>
          <w:color w:val="000000"/>
          <w:sz w:val="26"/>
        </w:rPr>
        <w:t>13.3 LGD: Curva de Recuperación y Supuestos de Pérdida Total</w:t>
      </w:r>
    </w:p>
    <w:p>
      <w:pPr>
        <w:spacing w:before="0" w:after="120" w:line="360" w:lineRule="exact"/>
        <w:jc w:val="both"/>
      </w:pPr>
      <w:r>
        <w:rPr>
          <w:rFonts w:ascii="Times New Roman" w:hAnsi="Times New Roman"/>
          <w:b w:val="0"/>
          <w:i w:val="0"/>
          <w:sz w:val="24"/>
        </w:rPr>
        <w:t>La LGD se estima sobre pérdidas realizadas: para cada préstamo liquidado con un código de zero-balance de default (venta a terceros, short sale o disposición REO), Freddie Mac publica el producido neto de la venta, las recuperaciones de seguro hipotecario (MI) y no-MI, los gastos totales de gestión (legales, mantenimiento, impuestos) y los intereses devengados impagos.</w:t>
      </w:r>
    </w:p>
    <w:p>
      <w:pPr>
        <w:spacing w:before="80" w:after="80"/>
        <w:ind w:left="567"/>
        <w:shd w:val="clear" w:color="auto" w:fill="F2F2F2"/>
      </w:pPr>
      <w:r>
        <w:rPr>
          <w:rFonts w:ascii="Courier New" w:hAnsi="Courier New"/>
          <w:sz w:val="18"/>
        </w:rPr>
        <w:t>Perdida = EAD - Producido_neto_venta - Recuperaciones_MI - Recuperaciones_no_MI</w:t>
        <w:br/>
        <w:t xml:space="preserve">        + Gastos_totales + Intereses_devengados_impagos</w:t>
        <w:br/>
        <w:t>LGD = Perdida / EAD</w:t>
      </w:r>
    </w:p>
    <w:p>
      <w:pPr>
        <w:jc w:val="center"/>
      </w:pPr>
      <w:r>
        <w:rPr>
          <w:rFonts w:ascii="Times New Roman" w:hAnsi="Times New Roman"/>
          <w:b w:val="0"/>
          <w:i/>
          <w:sz w:val="20"/>
        </w:rPr>
        <w:t>Tabla 8. Parámetros de la política de LGD y pérdida total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rFonts w:ascii="Times New Roman" w:hAnsi="Times New Roman"/>
                <w:b/>
                <w:color w:val="FFFFFF"/>
                <w:sz w:val="18"/>
              </w:rPr>
              <w:t>parametro</w:t>
            </w:r>
          </w:p>
        </w:tc>
        <w:tc>
          <w:tcPr>
            <w:tcW w:type="dxa" w:w="3041"/>
            <w:shd w:val="clear" w:color="auto" w:fill="1F4E79"/>
          </w:tcPr>
          <w:p>
            <w:r>
              <w:rPr>
                <w:rFonts w:ascii="Times New Roman" w:hAnsi="Times New Roman"/>
                <w:b/>
                <w:color w:val="FFFFFF"/>
                <w:sz w:val="18"/>
              </w:rPr>
              <w:t>valor</w:t>
            </w:r>
          </w:p>
        </w:tc>
        <w:tc>
          <w:tcPr>
            <w:tcW w:type="dxa" w:w="3041"/>
            <w:shd w:val="clear" w:color="auto" w:fill="1F4E79"/>
          </w:tcPr>
          <w:p>
            <w:r>
              <w:rPr>
                <w:rFonts w:ascii="Times New Roman" w:hAnsi="Times New Roman"/>
                <w:b/>
                <w:color w:val="FFFFFF"/>
                <w:sz w:val="18"/>
              </w:rPr>
              <w:t>fundamento</w:t>
            </w:r>
          </w:p>
        </w:tc>
      </w:tr>
      <w:tr>
        <w:tc>
          <w:tcPr>
            <w:tcW w:type="dxa" w:w="3041"/>
            <w:shd w:val="clear" w:color="auto" w:fill="FFFFFF"/>
          </w:tcPr>
          <w:p>
            <w:r>
              <w:rPr>
                <w:rFonts w:ascii="Times New Roman" w:hAnsi="Times New Roman"/>
                <w:sz w:val="18"/>
              </w:rPr>
              <w:t>Período de workout máximo (meses)</w:t>
            </w:r>
          </w:p>
        </w:tc>
        <w:tc>
          <w:tcPr>
            <w:tcW w:type="dxa" w:w="3041"/>
            <w:shd w:val="clear" w:color="auto" w:fill="FFFFFF"/>
          </w:tcPr>
          <w:p>
            <w:r>
              <w:rPr>
                <w:rFonts w:ascii="Times New Roman" w:hAnsi="Times New Roman"/>
                <w:sz w:val="18"/>
              </w:rPr>
              <w:t>60</w:t>
            </w:r>
          </w:p>
        </w:tc>
        <w:tc>
          <w:tcPr>
            <w:tcW w:type="dxa" w:w="3041"/>
            <w:shd w:val="clear" w:color="auto" w:fill="FFFFFF"/>
          </w:tcPr>
          <w:p>
            <w:r>
              <w:rPr>
                <w:rFonts w:ascii="Times New Roman" w:hAnsi="Times New Roman"/>
                <w:sz w:val="18"/>
              </w:rPr>
              <w:t>CRR art. 181.1.a – horizonte máximo observado de recuperación</w:t>
            </w:r>
          </w:p>
        </w:tc>
      </w:tr>
      <w:tr>
        <w:tc>
          <w:tcPr>
            <w:tcW w:type="dxa" w:w="3041"/>
            <w:shd w:val="clear" w:color="auto" w:fill="E8F0FE"/>
          </w:tcPr>
          <w:p>
            <w:r>
              <w:rPr>
                <w:rFonts w:ascii="Times New Roman" w:hAnsi="Times New Roman"/>
                <w:sz w:val="18"/>
              </w:rPr>
              <w:t>Probation period para declarar curación (meses)</w:t>
            </w:r>
          </w:p>
        </w:tc>
        <w:tc>
          <w:tcPr>
            <w:tcW w:type="dxa" w:w="3041"/>
            <w:shd w:val="clear" w:color="auto" w:fill="E8F0FE"/>
          </w:tcPr>
          <w:p>
            <w:r>
              <w:rPr>
                <w:rFonts w:ascii="Times New Roman" w:hAnsi="Times New Roman"/>
                <w:sz w:val="18"/>
              </w:rPr>
              <w:t>12</w:t>
            </w:r>
          </w:p>
        </w:tc>
        <w:tc>
          <w:tcPr>
            <w:tcW w:type="dxa" w:w="3041"/>
            <w:shd w:val="clear" w:color="auto" w:fill="E8F0FE"/>
          </w:tcPr>
          <w:p>
            <w:r>
              <w:rPr>
                <w:rFonts w:ascii="Times New Roman" w:hAnsi="Times New Roman"/>
                <w:sz w:val="18"/>
              </w:rPr>
              <w:t>EBA GL/2016/07 §7 – mínimo 3 meses; criterio conservador 12</w:t>
            </w:r>
          </w:p>
        </w:tc>
      </w:tr>
      <w:tr>
        <w:tc>
          <w:tcPr>
            <w:tcW w:type="dxa" w:w="3041"/>
            <w:shd w:val="clear" w:color="auto" w:fill="FFFFFF"/>
          </w:tcPr>
          <w:p>
            <w:r>
              <w:rPr>
                <w:rFonts w:ascii="Times New Roman" w:hAnsi="Times New Roman"/>
                <w:sz w:val="18"/>
              </w:rPr>
              <w:t>LGD asignada al superar el workout máximo</w:t>
            </w:r>
          </w:p>
        </w:tc>
        <w:tc>
          <w:tcPr>
            <w:tcW w:type="dxa" w:w="3041"/>
            <w:shd w:val="clear" w:color="auto" w:fill="FFFFFF"/>
          </w:tcPr>
          <w:p>
            <w:r>
              <w:rPr>
                <w:rFonts w:ascii="Times New Roman" w:hAnsi="Times New Roman"/>
                <w:sz w:val="18"/>
              </w:rPr>
              <w:t>1.0</w:t>
            </w:r>
          </w:p>
        </w:tc>
        <w:tc>
          <w:tcPr>
            <w:tcW w:type="dxa" w:w="3041"/>
            <w:shd w:val="clear" w:color="auto" w:fill="FFFFFF"/>
          </w:tcPr>
          <w:p>
            <w:r>
              <w:rPr>
                <w:rFonts w:ascii="Times New Roman" w:hAnsi="Times New Roman"/>
                <w:sz w:val="18"/>
              </w:rPr>
              <w:t>NIIF 9 5.4.4 – baja del importe bruto sin expectativa razonable de recuperación</w:t>
            </w:r>
          </w:p>
        </w:tc>
      </w:tr>
      <w:tr>
        <w:tc>
          <w:tcPr>
            <w:tcW w:type="dxa" w:w="3041"/>
            <w:shd w:val="clear" w:color="auto" w:fill="E8F0FE"/>
          </w:tcPr>
          <w:p>
            <w:r>
              <w:rPr>
                <w:rFonts w:ascii="Times New Roman" w:hAnsi="Times New Roman"/>
                <w:sz w:val="18"/>
              </w:rPr>
              <w:t>Add-on de downturn sobre la LGD media</w:t>
            </w:r>
          </w:p>
        </w:tc>
        <w:tc>
          <w:tcPr>
            <w:tcW w:type="dxa" w:w="3041"/>
            <w:shd w:val="clear" w:color="auto" w:fill="E8F0FE"/>
          </w:tcPr>
          <w:p>
            <w:r>
              <w:rPr>
                <w:rFonts w:ascii="Times New Roman" w:hAnsi="Times New Roman"/>
                <w:sz w:val="18"/>
              </w:rPr>
              <w:t>0.05</w:t>
            </w:r>
          </w:p>
        </w:tc>
        <w:tc>
          <w:tcPr>
            <w:tcW w:type="dxa" w:w="3041"/>
            <w:shd w:val="clear" w:color="auto" w:fill="E8F0FE"/>
          </w:tcPr>
          <w:p>
            <w:r>
              <w:rPr>
                <w:rFonts w:ascii="Times New Roman" w:hAnsi="Times New Roman"/>
                <w:sz w:val="18"/>
              </w:rPr>
              <w:t>CRR art. 181.1.b – LGD apropiada para una recesión económica</w:t>
            </w:r>
          </w:p>
        </w:tc>
      </w:tr>
      <w:tr>
        <w:tc>
          <w:tcPr>
            <w:tcW w:type="dxa" w:w="3041"/>
            <w:shd w:val="clear" w:color="auto" w:fill="FFFFFF"/>
          </w:tcPr>
          <w:p>
            <w:r>
              <w:rPr>
                <w:rFonts w:ascii="Times New Roman" w:hAnsi="Times New Roman"/>
                <w:sz w:val="18"/>
              </w:rPr>
              <w:t>Tasa de descuento de las recuperaciones</w:t>
            </w:r>
          </w:p>
        </w:tc>
        <w:tc>
          <w:tcPr>
            <w:tcW w:type="dxa" w:w="3041"/>
            <w:shd w:val="clear" w:color="auto" w:fill="FFFFFF"/>
          </w:tcPr>
          <w:p>
            <w:r>
              <w:rPr>
                <w:rFonts w:ascii="Times New Roman" w:hAnsi="Times New Roman"/>
                <w:sz w:val="18"/>
              </w:rPr>
              <w:t>Tasa de interés efectiva original del instrumento</w:t>
            </w:r>
          </w:p>
        </w:tc>
        <w:tc>
          <w:tcPr>
            <w:tcW w:type="dxa" w:w="3041"/>
            <w:shd w:val="clear" w:color="auto" w:fill="FFFFFF"/>
          </w:tcPr>
          <w:p>
            <w:r>
              <w:rPr>
                <w:rFonts w:ascii="Times New Roman" w:hAnsi="Times New Roman"/>
                <w:sz w:val="18"/>
              </w:rPr>
              <w:t>NIIF 9 B5.5.44</w:t>
            </w:r>
          </w:p>
        </w:tc>
      </w:tr>
      <w:tr>
        <w:tc>
          <w:tcPr>
            <w:tcW w:type="dxa" w:w="3041"/>
            <w:shd w:val="clear" w:color="auto" w:fill="E8F0FE"/>
          </w:tcPr>
          <w:p>
            <w:r>
              <w:rPr>
                <w:rFonts w:ascii="Times New Roman" w:hAnsi="Times New Roman"/>
                <w:sz w:val="18"/>
              </w:rPr>
              <w:t>Cure rate observado</w:t>
            </w:r>
          </w:p>
        </w:tc>
        <w:tc>
          <w:tcPr>
            <w:tcW w:type="dxa" w:w="3041"/>
            <w:shd w:val="clear" w:color="auto" w:fill="E8F0FE"/>
          </w:tcPr>
          <w:p>
            <w:r>
              <w:rPr>
                <w:rFonts w:ascii="Times New Roman" w:hAnsi="Times New Roman"/>
                <w:sz w:val="18"/>
              </w:rPr>
              <w:t>0.4767</w:t>
            </w:r>
          </w:p>
        </w:tc>
        <w:tc>
          <w:tcPr>
            <w:tcW w:type="dxa" w:w="3041"/>
            <w:shd w:val="clear" w:color="auto" w:fill="E8F0FE"/>
          </w:tcPr>
          <w:p>
            <w:r>
              <w:rPr>
                <w:rFonts w:ascii="Times New Roman" w:hAnsi="Times New Roman"/>
                <w:sz w:val="18"/>
              </w:rPr>
              <w:t>Estimación empírica sobre episodios de default del panel</w:t>
            </w:r>
          </w:p>
        </w:tc>
      </w:tr>
      <w:tr>
        <w:tc>
          <w:tcPr>
            <w:tcW w:type="dxa" w:w="3041"/>
            <w:shd w:val="clear" w:color="auto" w:fill="FFFFFF"/>
          </w:tcPr>
          <w:p>
            <w:r>
              <w:rPr>
                <w:rFonts w:ascii="Times New Roman" w:hAnsi="Times New Roman"/>
                <w:sz w:val="18"/>
              </w:rPr>
              <w:t>Exposiciones con supuesto de pérdida total aplicado</w:t>
            </w:r>
          </w:p>
        </w:tc>
        <w:tc>
          <w:tcPr>
            <w:tcW w:type="dxa" w:w="3041"/>
            <w:shd w:val="clear" w:color="auto" w:fill="FFFFFF"/>
          </w:tcPr>
          <w:p>
            <w:r>
              <w:rPr>
                <w:rFonts w:ascii="Times New Roman" w:hAnsi="Times New Roman"/>
                <w:sz w:val="18"/>
              </w:rPr>
              <w:t>58</w:t>
            </w:r>
          </w:p>
        </w:tc>
        <w:tc>
          <w:tcPr>
            <w:tcW w:type="dxa" w:w="3041"/>
            <w:shd w:val="clear" w:color="auto" w:fill="FFFFFF"/>
          </w:tcPr>
          <w:p>
            <w:r>
              <w:rPr>
                <w:rFonts w:ascii="Times New Roman" w:hAnsi="Times New Roman"/>
                <w:sz w:val="18"/>
              </w:rPr>
              <w:t>Episodios abiertos con antigüedad superior al workout máximo</w:t>
            </w:r>
          </w:p>
        </w:tc>
      </w:tr>
      <w:tr>
        <w:tc>
          <w:tcPr>
            <w:tcW w:type="dxa" w:w="3041"/>
            <w:shd w:val="clear" w:color="auto" w:fill="E8F0FE"/>
          </w:tcPr>
          <w:p>
            <w:r>
              <w:rPr>
                <w:rFonts w:ascii="Times New Roman" w:hAnsi="Times New Roman"/>
                <w:sz w:val="18"/>
              </w:rPr>
              <w:t>LGD media realizada</w:t>
            </w:r>
          </w:p>
        </w:tc>
        <w:tc>
          <w:tcPr>
            <w:tcW w:type="dxa" w:w="3041"/>
            <w:shd w:val="clear" w:color="auto" w:fill="E8F0FE"/>
          </w:tcPr>
          <w:p>
            <w:r>
              <w:rPr>
                <w:rFonts w:ascii="Times New Roman" w:hAnsi="Times New Roman"/>
                <w:sz w:val="18"/>
              </w:rPr>
              <w:t>0.2482</w:t>
            </w:r>
          </w:p>
        </w:tc>
        <w:tc>
          <w:tcPr>
            <w:tcW w:type="dxa" w:w="3041"/>
            <w:shd w:val="clear" w:color="auto" w:fill="E8F0FE"/>
          </w:tcPr>
          <w:p>
            <w:r>
              <w:rPr>
                <w:rFonts w:ascii="Times New Roman" w:hAnsi="Times New Roman"/>
                <w:sz w:val="18"/>
              </w:rPr>
              <w:t>Media simple sobre liquidaciones con evento de default</w:t>
            </w:r>
          </w:p>
        </w:tc>
      </w:tr>
      <w:tr>
        <w:tc>
          <w:tcPr>
            <w:tcW w:type="dxa" w:w="3041"/>
            <w:shd w:val="clear" w:color="auto" w:fill="FFFFFF"/>
          </w:tcPr>
          <w:p>
            <w:r>
              <w:rPr>
                <w:rFonts w:ascii="Times New Roman" w:hAnsi="Times New Roman"/>
                <w:sz w:val="18"/>
              </w:rPr>
              <w:t>LGD ponderada por exposición</w:t>
            </w:r>
          </w:p>
        </w:tc>
        <w:tc>
          <w:tcPr>
            <w:tcW w:type="dxa" w:w="3041"/>
            <w:shd w:val="clear" w:color="auto" w:fill="FFFFFF"/>
          </w:tcPr>
          <w:p>
            <w:r>
              <w:rPr>
                <w:rFonts w:ascii="Times New Roman" w:hAnsi="Times New Roman"/>
                <w:sz w:val="18"/>
              </w:rPr>
              <w:t>0.1983</w:t>
            </w:r>
          </w:p>
        </w:tc>
        <w:tc>
          <w:tcPr>
            <w:tcW w:type="dxa" w:w="3041"/>
            <w:shd w:val="clear" w:color="auto" w:fill="FFFFFF"/>
          </w:tcPr>
          <w:p>
            <w:r>
              <w:rPr>
                <w:rFonts w:ascii="Times New Roman" w:hAnsi="Times New Roman"/>
                <w:sz w:val="18"/>
              </w:rPr>
              <w:t>Pérdida total / EAD total</w:t>
            </w:r>
          </w:p>
        </w:tc>
      </w:tr>
    </w:tbl>
    <w:p/>
    <w:p>
      <w:pPr>
        <w:spacing w:before="0" w:after="120" w:line="360" w:lineRule="exact"/>
        <w:jc w:val="both"/>
      </w:pPr>
      <w:r>
        <w:rPr>
          <w:rFonts w:ascii="Times New Roman" w:hAnsi="Times New Roman"/>
          <w:b w:val="0"/>
          <w:i w:val="0"/>
          <w:sz w:val="24"/>
        </w:rPr>
        <w:t>Curación (cure): un préstamo que entra en default se considera curado cuando permanece 12 meses consecutivos sin mora (probation period), siguiendo el criterio conservador de EBA GL/2016/07 §7 (que exige un mínimo de 3 meses).</w:t>
      </w:r>
    </w:p>
    <w:p>
      <w:pPr>
        <w:spacing w:before="0" w:after="120" w:line="360" w:lineRule="exact"/>
        <w:jc w:val="both"/>
      </w:pPr>
      <w:r>
        <w:rPr>
          <w:rFonts w:ascii="Times New Roman" w:hAnsi="Times New Roman"/>
          <w:b w:val="0"/>
          <w:i w:val="0"/>
          <w:sz w:val="24"/>
        </w:rPr>
        <w:t>Supuesto de pérdida total: una exposición en default que no se haya resuelto (ni por curación ni por liquidación) dentro de un período de workout de 60 meses se considera irrecuperable y recibe LGD = 100%, en línea con el art. 181.1.a del CRR (horizonte máximo observado de recuperación) y el párr. 5.4.4 de la NIIF 9 (baja del importe bruto sin expectativa razonable de recuperación). La curva de recuperación empírica respalda este corte: la recuperación media cae de forma sostenida a partir del cuarto año de workout.</w:t>
      </w:r>
    </w:p>
    <w:p>
      <w:pPr>
        <w:jc w:val="center"/>
      </w:pPr>
      <w:r>
        <w:rPr>
          <w:rFonts w:ascii="Times New Roman" w:hAnsi="Times New Roman"/>
          <w:b w:val="0"/>
          <w:i/>
          <w:sz w:val="20"/>
        </w:rPr>
        <w:t>Tabla 9. Curva de recuperación por período de workout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Pr>
                <w:rFonts w:ascii="Times New Roman" w:hAnsi="Times New Roman"/>
                <w:b/>
                <w:color w:val="FFFFFF"/>
                <w:sz w:val="18"/>
              </w:rPr>
              <w:t>tramo</w:t>
            </w:r>
          </w:p>
        </w:tc>
        <w:tc>
          <w:tcPr>
            <w:tcW w:type="dxa" w:w="1140"/>
            <w:shd w:val="clear" w:color="auto" w:fill="1F4E79"/>
          </w:tcPr>
          <w:p>
            <w:r>
              <w:rPr>
                <w:rFonts w:ascii="Times New Roman" w:hAnsi="Times New Roman"/>
                <w:b/>
                <w:color w:val="FFFFFF"/>
                <w:sz w:val="18"/>
              </w:rPr>
              <w:t>n</w:t>
            </w:r>
          </w:p>
        </w:tc>
        <w:tc>
          <w:tcPr>
            <w:tcW w:type="dxa" w:w="1140"/>
            <w:shd w:val="clear" w:color="auto" w:fill="1F4E79"/>
          </w:tcPr>
          <w:p>
            <w:r>
              <w:rPr>
                <w:rFonts w:ascii="Times New Roman" w:hAnsi="Times New Roman"/>
                <w:b/>
                <w:color w:val="FFFFFF"/>
                <w:sz w:val="18"/>
              </w:rPr>
              <w:t>recuperacion_media</w:t>
            </w:r>
          </w:p>
        </w:tc>
        <w:tc>
          <w:tcPr>
            <w:tcW w:type="dxa" w:w="1140"/>
            <w:shd w:val="clear" w:color="auto" w:fill="1F4E79"/>
          </w:tcPr>
          <w:p>
            <w:r>
              <w:rPr>
                <w:rFonts w:ascii="Times New Roman" w:hAnsi="Times New Roman"/>
                <w:b/>
                <w:color w:val="FFFFFF"/>
                <w:sz w:val="18"/>
              </w:rPr>
              <w:t>recuperacion_mediana</w:t>
            </w:r>
          </w:p>
        </w:tc>
        <w:tc>
          <w:tcPr>
            <w:tcW w:type="dxa" w:w="1140"/>
            <w:shd w:val="clear" w:color="auto" w:fill="1F4E79"/>
          </w:tcPr>
          <w:p>
            <w:r>
              <w:rPr>
                <w:rFonts w:ascii="Times New Roman" w:hAnsi="Times New Roman"/>
                <w:b/>
                <w:color w:val="FFFFFF"/>
                <w:sz w:val="18"/>
              </w:rPr>
              <w:t>lgd_media</w:t>
            </w:r>
          </w:p>
        </w:tc>
        <w:tc>
          <w:tcPr>
            <w:tcW w:type="dxa" w:w="1140"/>
            <w:shd w:val="clear" w:color="auto" w:fill="1F4E79"/>
          </w:tcPr>
          <w:p>
            <w:r>
              <w:rPr>
                <w:rFonts w:ascii="Times New Roman" w:hAnsi="Times New Roman"/>
                <w:b/>
                <w:color w:val="FFFFFF"/>
                <w:sz w:val="18"/>
              </w:rPr>
              <w:t>lgd_descontada_media</w:t>
            </w:r>
          </w:p>
        </w:tc>
        <w:tc>
          <w:tcPr>
            <w:tcW w:type="dxa" w:w="1140"/>
            <w:shd w:val="clear" w:color="auto" w:fill="1F4E79"/>
          </w:tcPr>
          <w:p>
            <w:r>
              <w:rPr>
                <w:rFonts w:ascii="Times New Roman" w:hAnsi="Times New Roman"/>
                <w:b/>
                <w:color w:val="FFFFFF"/>
                <w:sz w:val="18"/>
              </w:rPr>
              <w:t>ead_media</w:t>
            </w:r>
          </w:p>
        </w:tc>
        <w:tc>
          <w:tcPr>
            <w:tcW w:type="dxa" w:w="1140"/>
            <w:shd w:val="clear" w:color="auto" w:fill="1F4E79"/>
          </w:tcPr>
          <w:p>
            <w:r>
              <w:rPr>
                <w:rFonts w:ascii="Times New Roman" w:hAnsi="Times New Roman"/>
                <w:b/>
                <w:color w:val="FFFFFF"/>
                <w:sz w:val="18"/>
              </w:rPr>
              <w:t>recuperacion_marginal</w:t>
            </w:r>
          </w:p>
        </w:tc>
      </w:tr>
      <w:tr>
        <w:tc>
          <w:tcPr>
            <w:tcW w:type="dxa" w:w="1140"/>
            <w:shd w:val="clear" w:color="auto" w:fill="FFFFFF"/>
          </w:tcPr>
          <w:p>
            <w:r>
              <w:rPr>
                <w:rFonts w:ascii="Times New Roman" w:hAnsi="Times New Roman"/>
                <w:sz w:val="18"/>
              </w:rPr>
              <w:t>0-6</w:t>
            </w:r>
          </w:p>
        </w:tc>
        <w:tc>
          <w:tcPr>
            <w:tcW w:type="dxa" w:w="1140"/>
            <w:shd w:val="clear" w:color="auto" w:fill="FFFFFF"/>
          </w:tcPr>
          <w:p>
            <w:r>
              <w:rPr>
                <w:rFonts w:ascii="Times New Roman" w:hAnsi="Times New Roman"/>
                <w:sz w:val="18"/>
              </w:rPr>
              <w:t>34</w:t>
            </w:r>
          </w:p>
        </w:tc>
        <w:tc>
          <w:tcPr>
            <w:tcW w:type="dxa" w:w="1140"/>
            <w:shd w:val="clear" w:color="auto" w:fill="FFFFFF"/>
          </w:tcPr>
          <w:p>
            <w:r>
              <w:rPr>
                <w:rFonts w:ascii="Times New Roman" w:hAnsi="Times New Roman"/>
                <w:sz w:val="18"/>
              </w:rPr>
              <w:t>0.7856</w:t>
            </w:r>
          </w:p>
        </w:tc>
        <w:tc>
          <w:tcPr>
            <w:tcW w:type="dxa" w:w="1140"/>
            <w:shd w:val="clear" w:color="auto" w:fill="FFFFFF"/>
          </w:tcPr>
          <w:p>
            <w:r>
              <w:rPr>
                <w:rFonts w:ascii="Times New Roman" w:hAnsi="Times New Roman"/>
                <w:sz w:val="18"/>
              </w:rPr>
              <w:t>0.9589</w:t>
            </w:r>
          </w:p>
        </w:tc>
        <w:tc>
          <w:tcPr>
            <w:tcW w:type="dxa" w:w="1140"/>
            <w:shd w:val="clear" w:color="auto" w:fill="FFFFFF"/>
          </w:tcPr>
          <w:p>
            <w:r>
              <w:rPr>
                <w:rFonts w:ascii="Times New Roman" w:hAnsi="Times New Roman"/>
                <w:sz w:val="18"/>
              </w:rPr>
              <w:t>0.2144</w:t>
            </w:r>
          </w:p>
        </w:tc>
        <w:tc>
          <w:tcPr>
            <w:tcW w:type="dxa" w:w="1140"/>
            <w:shd w:val="clear" w:color="auto" w:fill="FFFFFF"/>
          </w:tcPr>
          <w:p>
            <w:r>
              <w:rPr>
                <w:rFonts w:ascii="Times New Roman" w:hAnsi="Times New Roman"/>
                <w:sz w:val="18"/>
              </w:rPr>
              <w:t>0.2103</w:t>
            </w:r>
          </w:p>
        </w:tc>
        <w:tc>
          <w:tcPr>
            <w:tcW w:type="dxa" w:w="1140"/>
            <w:shd w:val="clear" w:color="auto" w:fill="FFFFFF"/>
          </w:tcPr>
          <w:p>
            <w:r>
              <w:rPr>
                <w:rFonts w:ascii="Times New Roman" w:hAnsi="Times New Roman"/>
                <w:sz w:val="18"/>
              </w:rPr>
              <w:t>172905.2368</w:t>
            </w:r>
          </w:p>
        </w:tc>
        <w:tc>
          <w:tcPr>
            <w:tcW w:type="dxa" w:w="1140"/>
            <w:shd w:val="clear" w:color="auto" w:fill="FFFFFF"/>
          </w:tcPr>
          <w:p>
            <w:r>
              <w:rPr>
                <w:rFonts w:ascii="Times New Roman" w:hAnsi="Times New Roman"/>
                <w:sz w:val="18"/>
              </w:rPr>
            </w:r>
          </w:p>
        </w:tc>
      </w:tr>
      <w:tr>
        <w:tc>
          <w:tcPr>
            <w:tcW w:type="dxa" w:w="1140"/>
            <w:shd w:val="clear" w:color="auto" w:fill="E8F0FE"/>
          </w:tcPr>
          <w:p>
            <w:r>
              <w:rPr>
                <w:rFonts w:ascii="Times New Roman" w:hAnsi="Times New Roman"/>
                <w:sz w:val="18"/>
              </w:rPr>
              <w:t>7-12</w:t>
            </w:r>
          </w:p>
        </w:tc>
        <w:tc>
          <w:tcPr>
            <w:tcW w:type="dxa" w:w="1140"/>
            <w:shd w:val="clear" w:color="auto" w:fill="E8F0FE"/>
          </w:tcPr>
          <w:p>
            <w:r>
              <w:rPr>
                <w:rFonts w:ascii="Times New Roman" w:hAnsi="Times New Roman"/>
                <w:sz w:val="18"/>
              </w:rPr>
              <w:t>55</w:t>
            </w:r>
          </w:p>
        </w:tc>
        <w:tc>
          <w:tcPr>
            <w:tcW w:type="dxa" w:w="1140"/>
            <w:shd w:val="clear" w:color="auto" w:fill="E8F0FE"/>
          </w:tcPr>
          <w:p>
            <w:r>
              <w:rPr>
                <w:rFonts w:ascii="Times New Roman" w:hAnsi="Times New Roman"/>
                <w:sz w:val="18"/>
              </w:rPr>
              <w:t>0.8414</w:t>
            </w:r>
          </w:p>
        </w:tc>
        <w:tc>
          <w:tcPr>
            <w:tcW w:type="dxa" w:w="1140"/>
            <w:shd w:val="clear" w:color="auto" w:fill="E8F0FE"/>
          </w:tcPr>
          <w:p>
            <w:r>
              <w:rPr>
                <w:rFonts w:ascii="Times New Roman" w:hAnsi="Times New Roman"/>
                <w:sz w:val="18"/>
              </w:rPr>
              <w:t>0.9413</w:t>
            </w:r>
          </w:p>
        </w:tc>
        <w:tc>
          <w:tcPr>
            <w:tcW w:type="dxa" w:w="1140"/>
            <w:shd w:val="clear" w:color="auto" w:fill="E8F0FE"/>
          </w:tcPr>
          <w:p>
            <w:r>
              <w:rPr>
                <w:rFonts w:ascii="Times New Roman" w:hAnsi="Times New Roman"/>
                <w:sz w:val="18"/>
              </w:rPr>
              <w:t>0.1586</w:t>
            </w:r>
          </w:p>
        </w:tc>
        <w:tc>
          <w:tcPr>
            <w:tcW w:type="dxa" w:w="1140"/>
            <w:shd w:val="clear" w:color="auto" w:fill="E8F0FE"/>
          </w:tcPr>
          <w:p>
            <w:r>
              <w:rPr>
                <w:rFonts w:ascii="Times New Roman" w:hAnsi="Times New Roman"/>
                <w:sz w:val="18"/>
              </w:rPr>
              <w:t>0.1534</w:t>
            </w:r>
          </w:p>
        </w:tc>
        <w:tc>
          <w:tcPr>
            <w:tcW w:type="dxa" w:w="1140"/>
            <w:shd w:val="clear" w:color="auto" w:fill="E8F0FE"/>
          </w:tcPr>
          <w:p>
            <w:r>
              <w:rPr>
                <w:rFonts w:ascii="Times New Roman" w:hAnsi="Times New Roman"/>
                <w:sz w:val="18"/>
              </w:rPr>
              <w:t>147306.6295</w:t>
            </w:r>
          </w:p>
        </w:tc>
        <w:tc>
          <w:tcPr>
            <w:tcW w:type="dxa" w:w="1140"/>
            <w:shd w:val="clear" w:color="auto" w:fill="E8F0FE"/>
          </w:tcPr>
          <w:p>
            <w:r>
              <w:rPr>
                <w:rFonts w:ascii="Times New Roman" w:hAnsi="Times New Roman"/>
                <w:sz w:val="18"/>
              </w:rPr>
              <w:t>0.0558</w:t>
            </w:r>
          </w:p>
        </w:tc>
      </w:tr>
      <w:tr>
        <w:tc>
          <w:tcPr>
            <w:tcW w:type="dxa" w:w="1140"/>
            <w:shd w:val="clear" w:color="auto" w:fill="FFFFFF"/>
          </w:tcPr>
          <w:p>
            <w:r>
              <w:rPr>
                <w:rFonts w:ascii="Times New Roman" w:hAnsi="Times New Roman"/>
                <w:sz w:val="18"/>
              </w:rPr>
              <w:t>13-18</w:t>
            </w:r>
          </w:p>
        </w:tc>
        <w:tc>
          <w:tcPr>
            <w:tcW w:type="dxa" w:w="1140"/>
            <w:shd w:val="clear" w:color="auto" w:fill="FFFFFF"/>
          </w:tcPr>
          <w:p>
            <w:r>
              <w:rPr>
                <w:rFonts w:ascii="Times New Roman" w:hAnsi="Times New Roman"/>
                <w:sz w:val="18"/>
              </w:rPr>
              <w:t>54</w:t>
            </w:r>
          </w:p>
        </w:tc>
        <w:tc>
          <w:tcPr>
            <w:tcW w:type="dxa" w:w="1140"/>
            <w:shd w:val="clear" w:color="auto" w:fill="FFFFFF"/>
          </w:tcPr>
          <w:p>
            <w:r>
              <w:rPr>
                <w:rFonts w:ascii="Times New Roman" w:hAnsi="Times New Roman"/>
                <w:sz w:val="18"/>
              </w:rPr>
              <w:t>0.7545</w:t>
            </w:r>
          </w:p>
        </w:tc>
        <w:tc>
          <w:tcPr>
            <w:tcW w:type="dxa" w:w="1140"/>
            <w:shd w:val="clear" w:color="auto" w:fill="FFFFFF"/>
          </w:tcPr>
          <w:p>
            <w:r>
              <w:rPr>
                <w:rFonts w:ascii="Times New Roman" w:hAnsi="Times New Roman"/>
                <w:sz w:val="18"/>
              </w:rPr>
              <w:t>0.9234</w:t>
            </w:r>
          </w:p>
        </w:tc>
        <w:tc>
          <w:tcPr>
            <w:tcW w:type="dxa" w:w="1140"/>
            <w:shd w:val="clear" w:color="auto" w:fill="FFFFFF"/>
          </w:tcPr>
          <w:p>
            <w:r>
              <w:rPr>
                <w:rFonts w:ascii="Times New Roman" w:hAnsi="Times New Roman"/>
                <w:sz w:val="18"/>
              </w:rPr>
              <w:t>0.2455</w:t>
            </w:r>
          </w:p>
        </w:tc>
        <w:tc>
          <w:tcPr>
            <w:tcW w:type="dxa" w:w="1140"/>
            <w:shd w:val="clear" w:color="auto" w:fill="FFFFFF"/>
          </w:tcPr>
          <w:p>
            <w:r>
              <w:rPr>
                <w:rFonts w:ascii="Times New Roman" w:hAnsi="Times New Roman"/>
                <w:sz w:val="18"/>
              </w:rPr>
              <w:t>0.2314</w:t>
            </w:r>
          </w:p>
        </w:tc>
        <w:tc>
          <w:tcPr>
            <w:tcW w:type="dxa" w:w="1140"/>
            <w:shd w:val="clear" w:color="auto" w:fill="FFFFFF"/>
          </w:tcPr>
          <w:p>
            <w:r>
              <w:rPr>
                <w:rFonts w:ascii="Times New Roman" w:hAnsi="Times New Roman"/>
                <w:sz w:val="18"/>
              </w:rPr>
              <w:t>160254.7096</w:t>
            </w:r>
          </w:p>
        </w:tc>
        <w:tc>
          <w:tcPr>
            <w:tcW w:type="dxa" w:w="1140"/>
            <w:shd w:val="clear" w:color="auto" w:fill="FFFFFF"/>
          </w:tcPr>
          <w:p>
            <w:r>
              <w:rPr>
                <w:rFonts w:ascii="Times New Roman" w:hAnsi="Times New Roman"/>
                <w:sz w:val="18"/>
              </w:rPr>
              <w:t>-0.0868</w:t>
            </w:r>
          </w:p>
        </w:tc>
      </w:tr>
      <w:tr>
        <w:tc>
          <w:tcPr>
            <w:tcW w:type="dxa" w:w="1140"/>
            <w:shd w:val="clear" w:color="auto" w:fill="E8F0FE"/>
          </w:tcPr>
          <w:p>
            <w:r>
              <w:rPr>
                <w:rFonts w:ascii="Times New Roman" w:hAnsi="Times New Roman"/>
                <w:sz w:val="18"/>
              </w:rPr>
              <w:t>19-24</w:t>
            </w:r>
          </w:p>
        </w:tc>
        <w:tc>
          <w:tcPr>
            <w:tcW w:type="dxa" w:w="1140"/>
            <w:shd w:val="clear" w:color="auto" w:fill="E8F0FE"/>
          </w:tcPr>
          <w:p>
            <w:r>
              <w:rPr>
                <w:rFonts w:ascii="Times New Roman" w:hAnsi="Times New Roman"/>
                <w:sz w:val="18"/>
              </w:rPr>
              <w:t>36</w:t>
            </w:r>
          </w:p>
        </w:tc>
        <w:tc>
          <w:tcPr>
            <w:tcW w:type="dxa" w:w="1140"/>
            <w:shd w:val="clear" w:color="auto" w:fill="E8F0FE"/>
          </w:tcPr>
          <w:p>
            <w:r>
              <w:rPr>
                <w:rFonts w:ascii="Times New Roman" w:hAnsi="Times New Roman"/>
                <w:sz w:val="18"/>
              </w:rPr>
              <w:t>0.7730</w:t>
            </w:r>
          </w:p>
        </w:tc>
        <w:tc>
          <w:tcPr>
            <w:tcW w:type="dxa" w:w="1140"/>
            <w:shd w:val="clear" w:color="auto" w:fill="E8F0FE"/>
          </w:tcPr>
          <w:p>
            <w:r>
              <w:rPr>
                <w:rFonts w:ascii="Times New Roman" w:hAnsi="Times New Roman"/>
                <w:sz w:val="18"/>
              </w:rPr>
              <w:t>0.9255</w:t>
            </w:r>
          </w:p>
        </w:tc>
        <w:tc>
          <w:tcPr>
            <w:tcW w:type="dxa" w:w="1140"/>
            <w:shd w:val="clear" w:color="auto" w:fill="E8F0FE"/>
          </w:tcPr>
          <w:p>
            <w:r>
              <w:rPr>
                <w:rFonts w:ascii="Times New Roman" w:hAnsi="Times New Roman"/>
                <w:sz w:val="18"/>
              </w:rPr>
              <w:t>0.2270</w:t>
            </w:r>
          </w:p>
        </w:tc>
        <w:tc>
          <w:tcPr>
            <w:tcW w:type="dxa" w:w="1140"/>
            <w:shd w:val="clear" w:color="auto" w:fill="E8F0FE"/>
          </w:tcPr>
          <w:p>
            <w:r>
              <w:rPr>
                <w:rFonts w:ascii="Times New Roman" w:hAnsi="Times New Roman"/>
                <w:sz w:val="18"/>
              </w:rPr>
              <w:t>0.2093</w:t>
            </w:r>
          </w:p>
        </w:tc>
        <w:tc>
          <w:tcPr>
            <w:tcW w:type="dxa" w:w="1140"/>
            <w:shd w:val="clear" w:color="auto" w:fill="E8F0FE"/>
          </w:tcPr>
          <w:p>
            <w:r>
              <w:rPr>
                <w:rFonts w:ascii="Times New Roman" w:hAnsi="Times New Roman"/>
                <w:sz w:val="18"/>
              </w:rPr>
              <w:t>150493.3525</w:t>
            </w:r>
          </w:p>
        </w:tc>
        <w:tc>
          <w:tcPr>
            <w:tcW w:type="dxa" w:w="1140"/>
            <w:shd w:val="clear" w:color="auto" w:fill="E8F0FE"/>
          </w:tcPr>
          <w:p>
            <w:r>
              <w:rPr>
                <w:rFonts w:ascii="Times New Roman" w:hAnsi="Times New Roman"/>
                <w:sz w:val="18"/>
              </w:rPr>
              <w:t>0.0185</w:t>
            </w:r>
          </w:p>
        </w:tc>
      </w:tr>
      <w:tr>
        <w:tc>
          <w:tcPr>
            <w:tcW w:type="dxa" w:w="1140"/>
            <w:shd w:val="clear" w:color="auto" w:fill="FFFFFF"/>
          </w:tcPr>
          <w:p>
            <w:r>
              <w:rPr>
                <w:rFonts w:ascii="Times New Roman" w:hAnsi="Times New Roman"/>
                <w:sz w:val="18"/>
              </w:rPr>
              <w:t>25-36</w:t>
            </w:r>
          </w:p>
        </w:tc>
        <w:tc>
          <w:tcPr>
            <w:tcW w:type="dxa" w:w="1140"/>
            <w:shd w:val="clear" w:color="auto" w:fill="FFFFFF"/>
          </w:tcPr>
          <w:p>
            <w:r>
              <w:rPr>
                <w:rFonts w:ascii="Times New Roman" w:hAnsi="Times New Roman"/>
                <w:sz w:val="18"/>
              </w:rPr>
              <w:t>46</w:t>
            </w:r>
          </w:p>
        </w:tc>
        <w:tc>
          <w:tcPr>
            <w:tcW w:type="dxa" w:w="1140"/>
            <w:shd w:val="clear" w:color="auto" w:fill="FFFFFF"/>
          </w:tcPr>
          <w:p>
            <w:r>
              <w:rPr>
                <w:rFonts w:ascii="Times New Roman" w:hAnsi="Times New Roman"/>
                <w:sz w:val="18"/>
              </w:rPr>
              <w:t>0.7198</w:t>
            </w:r>
          </w:p>
        </w:tc>
        <w:tc>
          <w:tcPr>
            <w:tcW w:type="dxa" w:w="1140"/>
            <w:shd w:val="clear" w:color="auto" w:fill="FFFFFF"/>
          </w:tcPr>
          <w:p>
            <w:r>
              <w:rPr>
                <w:rFonts w:ascii="Times New Roman" w:hAnsi="Times New Roman"/>
                <w:sz w:val="18"/>
              </w:rPr>
              <w:t>0.9387</w:t>
            </w:r>
          </w:p>
        </w:tc>
        <w:tc>
          <w:tcPr>
            <w:tcW w:type="dxa" w:w="1140"/>
            <w:shd w:val="clear" w:color="auto" w:fill="FFFFFF"/>
          </w:tcPr>
          <w:p>
            <w:r>
              <w:rPr>
                <w:rFonts w:ascii="Times New Roman" w:hAnsi="Times New Roman"/>
                <w:sz w:val="18"/>
              </w:rPr>
              <w:t>0.2802</w:t>
            </w:r>
          </w:p>
        </w:tc>
        <w:tc>
          <w:tcPr>
            <w:tcW w:type="dxa" w:w="1140"/>
            <w:shd w:val="clear" w:color="auto" w:fill="FFFFFF"/>
          </w:tcPr>
          <w:p>
            <w:r>
              <w:rPr>
                <w:rFonts w:ascii="Times New Roman" w:hAnsi="Times New Roman"/>
                <w:sz w:val="18"/>
              </w:rPr>
              <w:t>0.2491</w:t>
            </w:r>
          </w:p>
        </w:tc>
        <w:tc>
          <w:tcPr>
            <w:tcW w:type="dxa" w:w="1140"/>
            <w:shd w:val="clear" w:color="auto" w:fill="FFFFFF"/>
          </w:tcPr>
          <w:p>
            <w:r>
              <w:rPr>
                <w:rFonts w:ascii="Times New Roman" w:hAnsi="Times New Roman"/>
                <w:sz w:val="18"/>
              </w:rPr>
              <w:t>178471.4324</w:t>
            </w:r>
          </w:p>
        </w:tc>
        <w:tc>
          <w:tcPr>
            <w:tcW w:type="dxa" w:w="1140"/>
            <w:shd w:val="clear" w:color="auto" w:fill="FFFFFF"/>
          </w:tcPr>
          <w:p>
            <w:r>
              <w:rPr>
                <w:rFonts w:ascii="Times New Roman" w:hAnsi="Times New Roman"/>
                <w:sz w:val="18"/>
              </w:rPr>
              <w:t>-0.0532</w:t>
            </w:r>
          </w:p>
        </w:tc>
      </w:tr>
      <w:tr>
        <w:tc>
          <w:tcPr>
            <w:tcW w:type="dxa" w:w="1140"/>
            <w:shd w:val="clear" w:color="auto" w:fill="E8F0FE"/>
          </w:tcPr>
          <w:p>
            <w:r>
              <w:rPr>
                <w:rFonts w:ascii="Times New Roman" w:hAnsi="Times New Roman"/>
                <w:sz w:val="18"/>
              </w:rPr>
              <w:t>37-48</w:t>
            </w:r>
          </w:p>
        </w:tc>
        <w:tc>
          <w:tcPr>
            <w:tcW w:type="dxa" w:w="1140"/>
            <w:shd w:val="clear" w:color="auto" w:fill="E8F0FE"/>
          </w:tcPr>
          <w:p>
            <w:r>
              <w:rPr>
                <w:rFonts w:ascii="Times New Roman" w:hAnsi="Times New Roman"/>
                <w:sz w:val="18"/>
              </w:rPr>
              <w:t>26</w:t>
            </w:r>
          </w:p>
        </w:tc>
        <w:tc>
          <w:tcPr>
            <w:tcW w:type="dxa" w:w="1140"/>
            <w:shd w:val="clear" w:color="auto" w:fill="E8F0FE"/>
          </w:tcPr>
          <w:p>
            <w:r>
              <w:rPr>
                <w:rFonts w:ascii="Times New Roman" w:hAnsi="Times New Roman"/>
                <w:sz w:val="18"/>
              </w:rPr>
              <w:t>0.7359</w:t>
            </w:r>
          </w:p>
        </w:tc>
        <w:tc>
          <w:tcPr>
            <w:tcW w:type="dxa" w:w="1140"/>
            <w:shd w:val="clear" w:color="auto" w:fill="E8F0FE"/>
          </w:tcPr>
          <w:p>
            <w:r>
              <w:rPr>
                <w:rFonts w:ascii="Times New Roman" w:hAnsi="Times New Roman"/>
                <w:sz w:val="18"/>
              </w:rPr>
              <w:t>0.8910</w:t>
            </w:r>
          </w:p>
        </w:tc>
        <w:tc>
          <w:tcPr>
            <w:tcW w:type="dxa" w:w="1140"/>
            <w:shd w:val="clear" w:color="auto" w:fill="E8F0FE"/>
          </w:tcPr>
          <w:p>
            <w:r>
              <w:rPr>
                <w:rFonts w:ascii="Times New Roman" w:hAnsi="Times New Roman"/>
                <w:sz w:val="18"/>
              </w:rPr>
              <w:t>0.2641</w:t>
            </w:r>
          </w:p>
        </w:tc>
        <w:tc>
          <w:tcPr>
            <w:tcW w:type="dxa" w:w="1140"/>
            <w:shd w:val="clear" w:color="auto" w:fill="E8F0FE"/>
          </w:tcPr>
          <w:p>
            <w:r>
              <w:rPr>
                <w:rFonts w:ascii="Times New Roman" w:hAnsi="Times New Roman"/>
                <w:sz w:val="18"/>
              </w:rPr>
              <w:t>0.2256</w:t>
            </w:r>
          </w:p>
        </w:tc>
        <w:tc>
          <w:tcPr>
            <w:tcW w:type="dxa" w:w="1140"/>
            <w:shd w:val="clear" w:color="auto" w:fill="E8F0FE"/>
          </w:tcPr>
          <w:p>
            <w:r>
              <w:rPr>
                <w:rFonts w:ascii="Times New Roman" w:hAnsi="Times New Roman"/>
                <w:sz w:val="18"/>
              </w:rPr>
              <w:t>185030.6581</w:t>
            </w:r>
          </w:p>
        </w:tc>
        <w:tc>
          <w:tcPr>
            <w:tcW w:type="dxa" w:w="1140"/>
            <w:shd w:val="clear" w:color="auto" w:fill="E8F0FE"/>
          </w:tcPr>
          <w:p>
            <w:r>
              <w:rPr>
                <w:rFonts w:ascii="Times New Roman" w:hAnsi="Times New Roman"/>
                <w:sz w:val="18"/>
              </w:rPr>
              <w:t>0.0160</w:t>
            </w:r>
          </w:p>
        </w:tc>
      </w:tr>
      <w:tr>
        <w:tc>
          <w:tcPr>
            <w:tcW w:type="dxa" w:w="1140"/>
            <w:shd w:val="clear" w:color="auto" w:fill="FFFFFF"/>
          </w:tcPr>
          <w:p>
            <w:r>
              <w:rPr>
                <w:rFonts w:ascii="Times New Roman" w:hAnsi="Times New Roman"/>
                <w:sz w:val="18"/>
              </w:rPr>
              <w:t>49-60</w:t>
            </w:r>
          </w:p>
        </w:tc>
        <w:tc>
          <w:tcPr>
            <w:tcW w:type="dxa" w:w="1140"/>
            <w:shd w:val="clear" w:color="auto" w:fill="FFFFFF"/>
          </w:tcPr>
          <w:p>
            <w:r>
              <w:rPr>
                <w:rFonts w:ascii="Times New Roman" w:hAnsi="Times New Roman"/>
                <w:sz w:val="18"/>
              </w:rPr>
              <w:t>15</w:t>
            </w:r>
          </w:p>
        </w:tc>
        <w:tc>
          <w:tcPr>
            <w:tcW w:type="dxa" w:w="1140"/>
            <w:shd w:val="clear" w:color="auto" w:fill="FFFFFF"/>
          </w:tcPr>
          <w:p>
            <w:r>
              <w:rPr>
                <w:rFonts w:ascii="Times New Roman" w:hAnsi="Times New Roman"/>
                <w:sz w:val="18"/>
              </w:rPr>
              <w:t>0.5120</w:t>
            </w:r>
          </w:p>
        </w:tc>
        <w:tc>
          <w:tcPr>
            <w:tcW w:type="dxa" w:w="1140"/>
            <w:shd w:val="clear" w:color="auto" w:fill="FFFFFF"/>
          </w:tcPr>
          <w:p>
            <w:r>
              <w:rPr>
                <w:rFonts w:ascii="Times New Roman" w:hAnsi="Times New Roman"/>
                <w:sz w:val="18"/>
              </w:rPr>
              <w:t>0.5972</w:t>
            </w:r>
          </w:p>
        </w:tc>
        <w:tc>
          <w:tcPr>
            <w:tcW w:type="dxa" w:w="1140"/>
            <w:shd w:val="clear" w:color="auto" w:fill="FFFFFF"/>
          </w:tcPr>
          <w:p>
            <w:r>
              <w:rPr>
                <w:rFonts w:ascii="Times New Roman" w:hAnsi="Times New Roman"/>
                <w:sz w:val="18"/>
              </w:rPr>
              <w:t>0.4880</w:t>
            </w:r>
          </w:p>
        </w:tc>
        <w:tc>
          <w:tcPr>
            <w:tcW w:type="dxa" w:w="1140"/>
            <w:shd w:val="clear" w:color="auto" w:fill="FFFFFF"/>
          </w:tcPr>
          <w:p>
            <w:r>
              <w:rPr>
                <w:rFonts w:ascii="Times New Roman" w:hAnsi="Times New Roman"/>
                <w:sz w:val="18"/>
              </w:rPr>
              <w:t>0.4016</w:t>
            </w:r>
          </w:p>
        </w:tc>
        <w:tc>
          <w:tcPr>
            <w:tcW w:type="dxa" w:w="1140"/>
            <w:shd w:val="clear" w:color="auto" w:fill="FFFFFF"/>
          </w:tcPr>
          <w:p>
            <w:r>
              <w:rPr>
                <w:rFonts w:ascii="Times New Roman" w:hAnsi="Times New Roman"/>
                <w:sz w:val="18"/>
              </w:rPr>
              <w:t>126375.4440</w:t>
            </w:r>
          </w:p>
        </w:tc>
        <w:tc>
          <w:tcPr>
            <w:tcW w:type="dxa" w:w="1140"/>
            <w:shd w:val="clear" w:color="auto" w:fill="FFFFFF"/>
          </w:tcPr>
          <w:p>
            <w:r>
              <w:rPr>
                <w:rFonts w:ascii="Times New Roman" w:hAnsi="Times New Roman"/>
                <w:sz w:val="18"/>
              </w:rPr>
              <w:t>-0.2239</w:t>
            </w:r>
          </w:p>
        </w:tc>
      </w:tr>
      <w:tr>
        <w:tc>
          <w:tcPr>
            <w:tcW w:type="dxa" w:w="1140"/>
            <w:shd w:val="clear" w:color="auto" w:fill="E8F0FE"/>
          </w:tcPr>
          <w:p>
            <w:r>
              <w:rPr>
                <w:rFonts w:ascii="Times New Roman" w:hAnsi="Times New Roman"/>
                <w:sz w:val="18"/>
              </w:rPr>
              <w:t>&gt;60</w:t>
            </w:r>
          </w:p>
        </w:tc>
        <w:tc>
          <w:tcPr>
            <w:tcW w:type="dxa" w:w="1140"/>
            <w:shd w:val="clear" w:color="auto" w:fill="E8F0FE"/>
          </w:tcPr>
          <w:p>
            <w:r>
              <w:rPr>
                <w:rFonts w:ascii="Times New Roman" w:hAnsi="Times New Roman"/>
                <w:sz w:val="18"/>
              </w:rPr>
              <w:t>3</w:t>
            </w:r>
          </w:p>
        </w:tc>
        <w:tc>
          <w:tcPr>
            <w:tcW w:type="dxa" w:w="1140"/>
            <w:shd w:val="clear" w:color="auto" w:fill="E8F0FE"/>
          </w:tcPr>
          <w:p>
            <w:r>
              <w:rPr>
                <w:rFonts w:ascii="Times New Roman" w:hAnsi="Times New Roman"/>
                <w:sz w:val="18"/>
              </w:rPr>
              <w:t>0.2505</w:t>
            </w:r>
          </w:p>
        </w:tc>
        <w:tc>
          <w:tcPr>
            <w:tcW w:type="dxa" w:w="1140"/>
            <w:shd w:val="clear" w:color="auto" w:fill="E8F0FE"/>
          </w:tcPr>
          <w:p>
            <w:r>
              <w:rPr>
                <w:rFonts w:ascii="Times New Roman" w:hAnsi="Times New Roman"/>
                <w:sz w:val="18"/>
              </w:rPr>
              <w:t>0.0000</w:t>
            </w:r>
          </w:p>
        </w:tc>
        <w:tc>
          <w:tcPr>
            <w:tcW w:type="dxa" w:w="1140"/>
            <w:shd w:val="clear" w:color="auto" w:fill="E8F0FE"/>
          </w:tcPr>
          <w:p>
            <w:r>
              <w:rPr>
                <w:rFonts w:ascii="Times New Roman" w:hAnsi="Times New Roman"/>
                <w:sz w:val="18"/>
              </w:rPr>
              <w:t>0.7495</w:t>
            </w:r>
          </w:p>
        </w:tc>
        <w:tc>
          <w:tcPr>
            <w:tcW w:type="dxa" w:w="1140"/>
            <w:shd w:val="clear" w:color="auto" w:fill="E8F0FE"/>
          </w:tcPr>
          <w:p>
            <w:r>
              <w:rPr>
                <w:rFonts w:ascii="Times New Roman" w:hAnsi="Times New Roman"/>
                <w:sz w:val="18"/>
              </w:rPr>
              <w:t>0.5835</w:t>
            </w:r>
          </w:p>
        </w:tc>
        <w:tc>
          <w:tcPr>
            <w:tcW w:type="dxa" w:w="1140"/>
            <w:shd w:val="clear" w:color="auto" w:fill="E8F0FE"/>
          </w:tcPr>
          <w:p>
            <w:r>
              <w:rPr>
                <w:rFonts w:ascii="Times New Roman" w:hAnsi="Times New Roman"/>
                <w:sz w:val="18"/>
              </w:rPr>
              <w:t>201519.0900</w:t>
            </w:r>
          </w:p>
        </w:tc>
        <w:tc>
          <w:tcPr>
            <w:tcW w:type="dxa" w:w="1140"/>
            <w:shd w:val="clear" w:color="auto" w:fill="E8F0FE"/>
          </w:tcPr>
          <w:p>
            <w:r>
              <w:rPr>
                <w:rFonts w:ascii="Times New Roman" w:hAnsi="Times New Roman"/>
                <w:sz w:val="18"/>
              </w:rPr>
              <w:t>-0.2615</w:t>
            </w:r>
          </w:p>
        </w:tc>
      </w:tr>
    </w:tbl>
    <w:p/>
    <w:p>
      <w:pPr>
        <w:jc w:val="center"/>
      </w:pPr>
      <w:r>
        <w:rPr>
          <w:rFonts w:ascii="Times New Roman" w:hAnsi="Times New Roman"/>
          <w:b w:val="0"/>
          <w:i/>
          <w:sz w:val="20"/>
        </w:rPr>
        <w:t>Tabla 10. LGD realizada por año de liquidación</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r>
              <w:rPr>
                <w:rFonts w:ascii="Times New Roman" w:hAnsi="Times New Roman"/>
                <w:b/>
                <w:color w:val="FFFFFF"/>
                <w:sz w:val="18"/>
              </w:rPr>
              <w:t>anio_liquidacion</w:t>
            </w:r>
          </w:p>
        </w:tc>
        <w:tc>
          <w:tcPr>
            <w:tcW w:type="dxa" w:w="1303"/>
            <w:shd w:val="clear" w:color="auto" w:fill="1F4E79"/>
          </w:tcPr>
          <w:p>
            <w:r>
              <w:rPr>
                <w:rFonts w:ascii="Times New Roman" w:hAnsi="Times New Roman"/>
                <w:b/>
                <w:color w:val="FFFFFF"/>
                <w:sz w:val="18"/>
              </w:rPr>
              <w:t>n</w:t>
            </w:r>
          </w:p>
        </w:tc>
        <w:tc>
          <w:tcPr>
            <w:tcW w:type="dxa" w:w="1303"/>
            <w:shd w:val="clear" w:color="auto" w:fill="1F4E79"/>
          </w:tcPr>
          <w:p>
            <w:r>
              <w:rPr>
                <w:rFonts w:ascii="Times New Roman" w:hAnsi="Times New Roman"/>
                <w:b/>
                <w:color w:val="FFFFFF"/>
                <w:sz w:val="18"/>
              </w:rPr>
              <w:t>lgd_media</w:t>
            </w:r>
          </w:p>
        </w:tc>
        <w:tc>
          <w:tcPr>
            <w:tcW w:type="dxa" w:w="1303"/>
            <w:shd w:val="clear" w:color="auto" w:fill="1F4E79"/>
          </w:tcPr>
          <w:p>
            <w:r>
              <w:rPr>
                <w:rFonts w:ascii="Times New Roman" w:hAnsi="Times New Roman"/>
                <w:b/>
                <w:color w:val="FFFFFF"/>
                <w:sz w:val="18"/>
              </w:rPr>
              <w:t>lgd_descontada</w:t>
            </w:r>
          </w:p>
        </w:tc>
        <w:tc>
          <w:tcPr>
            <w:tcW w:type="dxa" w:w="1303"/>
            <w:shd w:val="clear" w:color="auto" w:fill="1F4E79"/>
          </w:tcPr>
          <w:p>
            <w:r>
              <w:rPr>
                <w:rFonts w:ascii="Times New Roman" w:hAnsi="Times New Roman"/>
                <w:b/>
                <w:color w:val="FFFFFF"/>
                <w:sz w:val="18"/>
              </w:rPr>
              <w:t>ead_total</w:t>
            </w:r>
          </w:p>
        </w:tc>
        <w:tc>
          <w:tcPr>
            <w:tcW w:type="dxa" w:w="1303"/>
            <w:shd w:val="clear" w:color="auto" w:fill="1F4E79"/>
          </w:tcPr>
          <w:p>
            <w:r>
              <w:rPr>
                <w:rFonts w:ascii="Times New Roman" w:hAnsi="Times New Roman"/>
                <w:b/>
                <w:color w:val="FFFFFF"/>
                <w:sz w:val="18"/>
              </w:rPr>
              <w:t>perdida_total</w:t>
            </w:r>
          </w:p>
        </w:tc>
        <w:tc>
          <w:tcPr>
            <w:tcW w:type="dxa" w:w="1303"/>
            <w:shd w:val="clear" w:color="auto" w:fill="1F4E79"/>
          </w:tcPr>
          <w:p>
            <w:r>
              <w:rPr>
                <w:rFonts w:ascii="Times New Roman" w:hAnsi="Times New Roman"/>
                <w:b/>
                <w:color w:val="FFFFFF"/>
                <w:sz w:val="18"/>
              </w:rPr>
              <w:t>lgd_ponderada</w:t>
            </w:r>
          </w:p>
        </w:tc>
      </w:tr>
      <w:tr>
        <w:tc>
          <w:tcPr>
            <w:tcW w:type="dxa" w:w="1303"/>
            <w:shd w:val="clear" w:color="auto" w:fill="FFFFFF"/>
          </w:tcPr>
          <w:p>
            <w:r>
              <w:rPr>
                <w:rFonts w:ascii="Times New Roman" w:hAnsi="Times New Roman"/>
                <w:sz w:val="18"/>
              </w:rPr>
              <w:t>2016</w:t>
            </w:r>
          </w:p>
        </w:tc>
        <w:tc>
          <w:tcPr>
            <w:tcW w:type="dxa" w:w="1303"/>
            <w:shd w:val="clear" w:color="auto" w:fill="FFFFFF"/>
          </w:tcPr>
          <w:p>
            <w:r>
              <w:rPr>
                <w:rFonts w:ascii="Times New Roman" w:hAnsi="Times New Roman"/>
                <w:sz w:val="18"/>
              </w:rPr>
              <w:t>1</w:t>
            </w:r>
          </w:p>
        </w:tc>
        <w:tc>
          <w:tcPr>
            <w:tcW w:type="dxa" w:w="1303"/>
            <w:shd w:val="clear" w:color="auto" w:fill="FFFFFF"/>
          </w:tcPr>
          <w:p>
            <w:r>
              <w:rPr>
                <w:rFonts w:ascii="Times New Roman" w:hAnsi="Times New Roman"/>
                <w:sz w:val="18"/>
              </w:rPr>
              <w:t>0.0060</w:t>
            </w:r>
          </w:p>
        </w:tc>
        <w:tc>
          <w:tcPr>
            <w:tcW w:type="dxa" w:w="1303"/>
            <w:shd w:val="clear" w:color="auto" w:fill="FFFFFF"/>
          </w:tcPr>
          <w:p>
            <w:r>
              <w:rPr>
                <w:rFonts w:ascii="Times New Roman" w:hAnsi="Times New Roman"/>
                <w:sz w:val="18"/>
              </w:rPr>
              <w:t>0.0059</w:t>
            </w:r>
          </w:p>
        </w:tc>
        <w:tc>
          <w:tcPr>
            <w:tcW w:type="dxa" w:w="1303"/>
            <w:shd w:val="clear" w:color="auto" w:fill="FFFFFF"/>
          </w:tcPr>
          <w:p>
            <w:r>
              <w:rPr>
                <w:rFonts w:ascii="Times New Roman" w:hAnsi="Times New Roman"/>
                <w:sz w:val="18"/>
              </w:rPr>
              <w:t>525000.0000</w:t>
            </w:r>
          </w:p>
        </w:tc>
        <w:tc>
          <w:tcPr>
            <w:tcW w:type="dxa" w:w="1303"/>
            <w:shd w:val="clear" w:color="auto" w:fill="FFFFFF"/>
          </w:tcPr>
          <w:p>
            <w:r>
              <w:rPr>
                <w:rFonts w:ascii="Times New Roman" w:hAnsi="Times New Roman"/>
                <w:sz w:val="18"/>
              </w:rPr>
              <w:t>3126.7600</w:t>
            </w:r>
          </w:p>
        </w:tc>
        <w:tc>
          <w:tcPr>
            <w:tcW w:type="dxa" w:w="1303"/>
            <w:shd w:val="clear" w:color="auto" w:fill="FFFFFF"/>
          </w:tcPr>
          <w:p>
            <w:r>
              <w:rPr>
                <w:rFonts w:ascii="Times New Roman" w:hAnsi="Times New Roman"/>
                <w:sz w:val="18"/>
              </w:rPr>
              <w:t>0.0060</w:t>
            </w:r>
          </w:p>
        </w:tc>
      </w:tr>
      <w:tr>
        <w:tc>
          <w:tcPr>
            <w:tcW w:type="dxa" w:w="1303"/>
            <w:shd w:val="clear" w:color="auto" w:fill="E8F0FE"/>
          </w:tcPr>
          <w:p>
            <w:r>
              <w:rPr>
                <w:rFonts w:ascii="Times New Roman" w:hAnsi="Times New Roman"/>
                <w:sz w:val="18"/>
              </w:rPr>
              <w:t>2017</w:t>
            </w:r>
          </w:p>
        </w:tc>
        <w:tc>
          <w:tcPr>
            <w:tcW w:type="dxa" w:w="1303"/>
            <w:shd w:val="clear" w:color="auto" w:fill="E8F0FE"/>
          </w:tcPr>
          <w:p>
            <w:r>
              <w:rPr>
                <w:rFonts w:ascii="Times New Roman" w:hAnsi="Times New Roman"/>
                <w:sz w:val="18"/>
              </w:rPr>
              <w:t>4</w:t>
            </w:r>
          </w:p>
        </w:tc>
        <w:tc>
          <w:tcPr>
            <w:tcW w:type="dxa" w:w="1303"/>
            <w:shd w:val="clear" w:color="auto" w:fill="E8F0FE"/>
          </w:tcPr>
          <w:p>
            <w:r>
              <w:rPr>
                <w:rFonts w:ascii="Times New Roman" w:hAnsi="Times New Roman"/>
                <w:sz w:val="18"/>
              </w:rPr>
              <w:t>0.1918</w:t>
            </w:r>
          </w:p>
        </w:tc>
        <w:tc>
          <w:tcPr>
            <w:tcW w:type="dxa" w:w="1303"/>
            <w:shd w:val="clear" w:color="auto" w:fill="E8F0FE"/>
          </w:tcPr>
          <w:p>
            <w:r>
              <w:rPr>
                <w:rFonts w:ascii="Times New Roman" w:hAnsi="Times New Roman"/>
                <w:sz w:val="18"/>
              </w:rPr>
              <w:t>0.1887</w:t>
            </w:r>
          </w:p>
        </w:tc>
        <w:tc>
          <w:tcPr>
            <w:tcW w:type="dxa" w:w="1303"/>
            <w:shd w:val="clear" w:color="auto" w:fill="E8F0FE"/>
          </w:tcPr>
          <w:p>
            <w:r>
              <w:rPr>
                <w:rFonts w:ascii="Times New Roman" w:hAnsi="Times New Roman"/>
                <w:sz w:val="18"/>
              </w:rPr>
              <w:t>572369.0900</w:t>
            </w:r>
          </w:p>
        </w:tc>
        <w:tc>
          <w:tcPr>
            <w:tcW w:type="dxa" w:w="1303"/>
            <w:shd w:val="clear" w:color="auto" w:fill="E8F0FE"/>
          </w:tcPr>
          <w:p>
            <w:r>
              <w:rPr>
                <w:rFonts w:ascii="Times New Roman" w:hAnsi="Times New Roman"/>
                <w:sz w:val="18"/>
              </w:rPr>
              <w:t>106341.7600</w:t>
            </w:r>
          </w:p>
        </w:tc>
        <w:tc>
          <w:tcPr>
            <w:tcW w:type="dxa" w:w="1303"/>
            <w:shd w:val="clear" w:color="auto" w:fill="E8F0FE"/>
          </w:tcPr>
          <w:p>
            <w:r>
              <w:rPr>
                <w:rFonts w:ascii="Times New Roman" w:hAnsi="Times New Roman"/>
                <w:sz w:val="18"/>
              </w:rPr>
              <w:t>0.1858</w:t>
            </w:r>
          </w:p>
        </w:tc>
      </w:tr>
      <w:tr>
        <w:tc>
          <w:tcPr>
            <w:tcW w:type="dxa" w:w="1303"/>
            <w:shd w:val="clear" w:color="auto" w:fill="FFFFFF"/>
          </w:tcPr>
          <w:p>
            <w:r>
              <w:rPr>
                <w:rFonts w:ascii="Times New Roman" w:hAnsi="Times New Roman"/>
                <w:sz w:val="18"/>
              </w:rPr>
              <w:t>2018</w:t>
            </w:r>
          </w:p>
        </w:tc>
        <w:tc>
          <w:tcPr>
            <w:tcW w:type="dxa" w:w="1303"/>
            <w:shd w:val="clear" w:color="auto" w:fill="FFFFFF"/>
          </w:tcPr>
          <w:p>
            <w:r>
              <w:rPr>
                <w:rFonts w:ascii="Times New Roman" w:hAnsi="Times New Roman"/>
                <w:sz w:val="18"/>
              </w:rPr>
              <w:t>11</w:t>
            </w:r>
          </w:p>
        </w:tc>
        <w:tc>
          <w:tcPr>
            <w:tcW w:type="dxa" w:w="1303"/>
            <w:shd w:val="clear" w:color="auto" w:fill="FFFFFF"/>
          </w:tcPr>
          <w:p>
            <w:r>
              <w:rPr>
                <w:rFonts w:ascii="Times New Roman" w:hAnsi="Times New Roman"/>
                <w:sz w:val="18"/>
              </w:rPr>
              <w:t>0.1571</w:t>
            </w:r>
          </w:p>
        </w:tc>
        <w:tc>
          <w:tcPr>
            <w:tcW w:type="dxa" w:w="1303"/>
            <w:shd w:val="clear" w:color="auto" w:fill="FFFFFF"/>
          </w:tcPr>
          <w:p>
            <w:r>
              <w:rPr>
                <w:rFonts w:ascii="Times New Roman" w:hAnsi="Times New Roman"/>
                <w:sz w:val="18"/>
              </w:rPr>
              <w:t>0.1513</w:t>
            </w:r>
          </w:p>
        </w:tc>
        <w:tc>
          <w:tcPr>
            <w:tcW w:type="dxa" w:w="1303"/>
            <w:shd w:val="clear" w:color="auto" w:fill="FFFFFF"/>
          </w:tcPr>
          <w:p>
            <w:r>
              <w:rPr>
                <w:rFonts w:ascii="Times New Roman" w:hAnsi="Times New Roman"/>
                <w:sz w:val="18"/>
              </w:rPr>
              <w:t>1921228.1500</w:t>
            </w:r>
          </w:p>
        </w:tc>
        <w:tc>
          <w:tcPr>
            <w:tcW w:type="dxa" w:w="1303"/>
            <w:shd w:val="clear" w:color="auto" w:fill="FFFFFF"/>
          </w:tcPr>
          <w:p>
            <w:r>
              <w:rPr>
                <w:rFonts w:ascii="Times New Roman" w:hAnsi="Times New Roman"/>
                <w:sz w:val="18"/>
              </w:rPr>
              <w:t>245716.3600</w:t>
            </w:r>
          </w:p>
        </w:tc>
        <w:tc>
          <w:tcPr>
            <w:tcW w:type="dxa" w:w="1303"/>
            <w:shd w:val="clear" w:color="auto" w:fill="FFFFFF"/>
          </w:tcPr>
          <w:p>
            <w:r>
              <w:rPr>
                <w:rFonts w:ascii="Times New Roman" w:hAnsi="Times New Roman"/>
                <w:sz w:val="18"/>
              </w:rPr>
              <w:t>0.1279</w:t>
            </w:r>
          </w:p>
        </w:tc>
      </w:tr>
      <w:tr>
        <w:tc>
          <w:tcPr>
            <w:tcW w:type="dxa" w:w="1303"/>
            <w:shd w:val="clear" w:color="auto" w:fill="E8F0FE"/>
          </w:tcPr>
          <w:p>
            <w:r>
              <w:rPr>
                <w:rFonts w:ascii="Times New Roman" w:hAnsi="Times New Roman"/>
                <w:sz w:val="18"/>
              </w:rPr>
              <w:t>2019</w:t>
            </w:r>
          </w:p>
        </w:tc>
        <w:tc>
          <w:tcPr>
            <w:tcW w:type="dxa" w:w="1303"/>
            <w:shd w:val="clear" w:color="auto" w:fill="E8F0FE"/>
          </w:tcPr>
          <w:p>
            <w:r>
              <w:rPr>
                <w:rFonts w:ascii="Times New Roman" w:hAnsi="Times New Roman"/>
                <w:sz w:val="18"/>
              </w:rPr>
              <w:t>37</w:t>
            </w:r>
          </w:p>
        </w:tc>
        <w:tc>
          <w:tcPr>
            <w:tcW w:type="dxa" w:w="1303"/>
            <w:shd w:val="clear" w:color="auto" w:fill="E8F0FE"/>
          </w:tcPr>
          <w:p>
            <w:r>
              <w:rPr>
                <w:rFonts w:ascii="Times New Roman" w:hAnsi="Times New Roman"/>
                <w:sz w:val="18"/>
              </w:rPr>
              <w:t>0.1822</w:t>
            </w:r>
          </w:p>
        </w:tc>
        <w:tc>
          <w:tcPr>
            <w:tcW w:type="dxa" w:w="1303"/>
            <w:shd w:val="clear" w:color="auto" w:fill="E8F0FE"/>
          </w:tcPr>
          <w:p>
            <w:r>
              <w:rPr>
                <w:rFonts w:ascii="Times New Roman" w:hAnsi="Times New Roman"/>
                <w:sz w:val="18"/>
              </w:rPr>
              <w:t>0.1729</w:t>
            </w:r>
          </w:p>
        </w:tc>
        <w:tc>
          <w:tcPr>
            <w:tcW w:type="dxa" w:w="1303"/>
            <w:shd w:val="clear" w:color="auto" w:fill="E8F0FE"/>
          </w:tcPr>
          <w:p>
            <w:r>
              <w:rPr>
                <w:rFonts w:ascii="Times New Roman" w:hAnsi="Times New Roman"/>
                <w:sz w:val="18"/>
              </w:rPr>
              <w:t>6468430.4900</w:t>
            </w:r>
          </w:p>
        </w:tc>
        <w:tc>
          <w:tcPr>
            <w:tcW w:type="dxa" w:w="1303"/>
            <w:shd w:val="clear" w:color="auto" w:fill="E8F0FE"/>
          </w:tcPr>
          <w:p>
            <w:r>
              <w:rPr>
                <w:rFonts w:ascii="Times New Roman" w:hAnsi="Times New Roman"/>
                <w:sz w:val="18"/>
              </w:rPr>
              <w:t>926070.4200</w:t>
            </w:r>
          </w:p>
        </w:tc>
        <w:tc>
          <w:tcPr>
            <w:tcW w:type="dxa" w:w="1303"/>
            <w:shd w:val="clear" w:color="auto" w:fill="E8F0FE"/>
          </w:tcPr>
          <w:p>
            <w:r>
              <w:rPr>
                <w:rFonts w:ascii="Times New Roman" w:hAnsi="Times New Roman"/>
                <w:sz w:val="18"/>
              </w:rPr>
              <w:t>0.1432</w:t>
            </w:r>
          </w:p>
        </w:tc>
      </w:tr>
      <w:tr>
        <w:tc>
          <w:tcPr>
            <w:tcW w:type="dxa" w:w="1303"/>
            <w:shd w:val="clear" w:color="auto" w:fill="FFFFFF"/>
          </w:tcPr>
          <w:p>
            <w:r>
              <w:rPr>
                <w:rFonts w:ascii="Times New Roman" w:hAnsi="Times New Roman"/>
                <w:sz w:val="18"/>
              </w:rPr>
              <w:t>2020</w:t>
            </w:r>
          </w:p>
        </w:tc>
        <w:tc>
          <w:tcPr>
            <w:tcW w:type="dxa" w:w="1303"/>
            <w:shd w:val="clear" w:color="auto" w:fill="FFFFFF"/>
          </w:tcPr>
          <w:p>
            <w:r>
              <w:rPr>
                <w:rFonts w:ascii="Times New Roman" w:hAnsi="Times New Roman"/>
                <w:sz w:val="18"/>
              </w:rPr>
              <w:t>42</w:t>
            </w:r>
          </w:p>
        </w:tc>
        <w:tc>
          <w:tcPr>
            <w:tcW w:type="dxa" w:w="1303"/>
            <w:shd w:val="clear" w:color="auto" w:fill="FFFFFF"/>
          </w:tcPr>
          <w:p>
            <w:r>
              <w:rPr>
                <w:rFonts w:ascii="Times New Roman" w:hAnsi="Times New Roman"/>
                <w:sz w:val="18"/>
              </w:rPr>
              <w:t>0.1877</w:t>
            </w:r>
          </w:p>
        </w:tc>
        <w:tc>
          <w:tcPr>
            <w:tcW w:type="dxa" w:w="1303"/>
            <w:shd w:val="clear" w:color="auto" w:fill="FFFFFF"/>
          </w:tcPr>
          <w:p>
            <w:r>
              <w:rPr>
                <w:rFonts w:ascii="Times New Roman" w:hAnsi="Times New Roman"/>
                <w:sz w:val="18"/>
              </w:rPr>
              <w:t>0.1777</w:t>
            </w:r>
          </w:p>
        </w:tc>
        <w:tc>
          <w:tcPr>
            <w:tcW w:type="dxa" w:w="1303"/>
            <w:shd w:val="clear" w:color="auto" w:fill="FFFFFF"/>
          </w:tcPr>
          <w:p>
            <w:r>
              <w:rPr>
                <w:rFonts w:ascii="Times New Roman" w:hAnsi="Times New Roman"/>
                <w:sz w:val="18"/>
              </w:rPr>
              <w:t>5904799.5200</w:t>
            </w:r>
          </w:p>
        </w:tc>
        <w:tc>
          <w:tcPr>
            <w:tcW w:type="dxa" w:w="1303"/>
            <w:shd w:val="clear" w:color="auto" w:fill="FFFFFF"/>
          </w:tcPr>
          <w:p>
            <w:r>
              <w:rPr>
                <w:rFonts w:ascii="Times New Roman" w:hAnsi="Times New Roman"/>
                <w:sz w:val="18"/>
              </w:rPr>
              <w:t>827426.0200</w:t>
            </w:r>
          </w:p>
        </w:tc>
        <w:tc>
          <w:tcPr>
            <w:tcW w:type="dxa" w:w="1303"/>
            <w:shd w:val="clear" w:color="auto" w:fill="FFFFFF"/>
          </w:tcPr>
          <w:p>
            <w:r>
              <w:rPr>
                <w:rFonts w:ascii="Times New Roman" w:hAnsi="Times New Roman"/>
                <w:sz w:val="18"/>
              </w:rPr>
              <w:t>0.1401</w:t>
            </w:r>
          </w:p>
        </w:tc>
      </w:tr>
      <w:tr>
        <w:tc>
          <w:tcPr>
            <w:tcW w:type="dxa" w:w="1303"/>
            <w:shd w:val="clear" w:color="auto" w:fill="E8F0FE"/>
          </w:tcPr>
          <w:p>
            <w:r>
              <w:rPr>
                <w:rFonts w:ascii="Times New Roman" w:hAnsi="Times New Roman"/>
                <w:sz w:val="18"/>
              </w:rPr>
              <w:t>2021</w:t>
            </w:r>
          </w:p>
        </w:tc>
        <w:tc>
          <w:tcPr>
            <w:tcW w:type="dxa" w:w="1303"/>
            <w:shd w:val="clear" w:color="auto" w:fill="E8F0FE"/>
          </w:tcPr>
          <w:p>
            <w:r>
              <w:rPr>
                <w:rFonts w:ascii="Times New Roman" w:hAnsi="Times New Roman"/>
                <w:sz w:val="18"/>
              </w:rPr>
              <w:t>16</w:t>
            </w:r>
          </w:p>
        </w:tc>
        <w:tc>
          <w:tcPr>
            <w:tcW w:type="dxa" w:w="1303"/>
            <w:shd w:val="clear" w:color="auto" w:fill="E8F0FE"/>
          </w:tcPr>
          <w:p>
            <w:r>
              <w:rPr>
                <w:rFonts w:ascii="Times New Roman" w:hAnsi="Times New Roman"/>
                <w:sz w:val="18"/>
              </w:rPr>
              <w:t>0.2631</w:t>
            </w:r>
          </w:p>
        </w:tc>
        <w:tc>
          <w:tcPr>
            <w:tcW w:type="dxa" w:w="1303"/>
            <w:shd w:val="clear" w:color="auto" w:fill="E8F0FE"/>
          </w:tcPr>
          <w:p>
            <w:r>
              <w:rPr>
                <w:rFonts w:ascii="Times New Roman" w:hAnsi="Times New Roman"/>
                <w:sz w:val="18"/>
              </w:rPr>
              <w:t>0.2381</w:t>
            </w:r>
          </w:p>
        </w:tc>
        <w:tc>
          <w:tcPr>
            <w:tcW w:type="dxa" w:w="1303"/>
            <w:shd w:val="clear" w:color="auto" w:fill="E8F0FE"/>
          </w:tcPr>
          <w:p>
            <w:r>
              <w:rPr>
                <w:rFonts w:ascii="Times New Roman" w:hAnsi="Times New Roman"/>
                <w:sz w:val="18"/>
              </w:rPr>
              <w:t>2766493.2600</w:t>
            </w:r>
          </w:p>
        </w:tc>
        <w:tc>
          <w:tcPr>
            <w:tcW w:type="dxa" w:w="1303"/>
            <w:shd w:val="clear" w:color="auto" w:fill="E8F0FE"/>
          </w:tcPr>
          <w:p>
            <w:r>
              <w:rPr>
                <w:rFonts w:ascii="Times New Roman" w:hAnsi="Times New Roman"/>
                <w:sz w:val="18"/>
              </w:rPr>
              <w:t>502083.2500</w:t>
            </w:r>
          </w:p>
        </w:tc>
        <w:tc>
          <w:tcPr>
            <w:tcW w:type="dxa" w:w="1303"/>
            <w:shd w:val="clear" w:color="auto" w:fill="E8F0FE"/>
          </w:tcPr>
          <w:p>
            <w:r>
              <w:rPr>
                <w:rFonts w:ascii="Times New Roman" w:hAnsi="Times New Roman"/>
                <w:sz w:val="18"/>
              </w:rPr>
              <w:t>0.1815</w:t>
            </w:r>
          </w:p>
        </w:tc>
      </w:tr>
      <w:tr>
        <w:tc>
          <w:tcPr>
            <w:tcW w:type="dxa" w:w="1303"/>
            <w:shd w:val="clear" w:color="auto" w:fill="FFFFFF"/>
          </w:tcPr>
          <w:p>
            <w:r>
              <w:rPr>
                <w:rFonts w:ascii="Times New Roman" w:hAnsi="Times New Roman"/>
                <w:sz w:val="18"/>
              </w:rPr>
              <w:t>2022</w:t>
            </w:r>
          </w:p>
        </w:tc>
        <w:tc>
          <w:tcPr>
            <w:tcW w:type="dxa" w:w="1303"/>
            <w:shd w:val="clear" w:color="auto" w:fill="FFFFFF"/>
          </w:tcPr>
          <w:p>
            <w:r>
              <w:rPr>
                <w:rFonts w:ascii="Times New Roman" w:hAnsi="Times New Roman"/>
                <w:sz w:val="18"/>
              </w:rPr>
              <w:t>42</w:t>
            </w:r>
          </w:p>
        </w:tc>
        <w:tc>
          <w:tcPr>
            <w:tcW w:type="dxa" w:w="1303"/>
            <w:shd w:val="clear" w:color="auto" w:fill="FFFFFF"/>
          </w:tcPr>
          <w:p>
            <w:r>
              <w:rPr>
                <w:rFonts w:ascii="Times New Roman" w:hAnsi="Times New Roman"/>
                <w:sz w:val="18"/>
              </w:rPr>
              <w:t>0.1968</w:t>
            </w:r>
          </w:p>
        </w:tc>
        <w:tc>
          <w:tcPr>
            <w:tcW w:type="dxa" w:w="1303"/>
            <w:shd w:val="clear" w:color="auto" w:fill="FFFFFF"/>
          </w:tcPr>
          <w:p>
            <w:r>
              <w:rPr>
                <w:rFonts w:ascii="Times New Roman" w:hAnsi="Times New Roman"/>
                <w:sz w:val="18"/>
              </w:rPr>
              <w:t>0.1795</w:t>
            </w:r>
          </w:p>
        </w:tc>
        <w:tc>
          <w:tcPr>
            <w:tcW w:type="dxa" w:w="1303"/>
            <w:shd w:val="clear" w:color="auto" w:fill="FFFFFF"/>
          </w:tcPr>
          <w:p>
            <w:r>
              <w:rPr>
                <w:rFonts w:ascii="Times New Roman" w:hAnsi="Times New Roman"/>
                <w:sz w:val="18"/>
              </w:rPr>
              <w:t>6690570.4900</w:t>
            </w:r>
          </w:p>
        </w:tc>
        <w:tc>
          <w:tcPr>
            <w:tcW w:type="dxa" w:w="1303"/>
            <w:shd w:val="clear" w:color="auto" w:fill="FFFFFF"/>
          </w:tcPr>
          <w:p>
            <w:r>
              <w:rPr>
                <w:rFonts w:ascii="Times New Roman" w:hAnsi="Times New Roman"/>
                <w:sz w:val="18"/>
              </w:rPr>
              <w:t>998374.7800</w:t>
            </w:r>
          </w:p>
        </w:tc>
        <w:tc>
          <w:tcPr>
            <w:tcW w:type="dxa" w:w="1303"/>
            <w:shd w:val="clear" w:color="auto" w:fill="FFFFFF"/>
          </w:tcPr>
          <w:p>
            <w:r>
              <w:rPr>
                <w:rFonts w:ascii="Times New Roman" w:hAnsi="Times New Roman"/>
                <w:sz w:val="18"/>
              </w:rPr>
              <w:t>0.1492</w:t>
            </w:r>
          </w:p>
        </w:tc>
      </w:tr>
      <w:tr>
        <w:tc>
          <w:tcPr>
            <w:tcW w:type="dxa" w:w="1303"/>
            <w:shd w:val="clear" w:color="auto" w:fill="E8F0FE"/>
          </w:tcPr>
          <w:p>
            <w:r>
              <w:rPr>
                <w:rFonts w:ascii="Times New Roman" w:hAnsi="Times New Roman"/>
                <w:sz w:val="18"/>
              </w:rPr>
              <w:t>2023</w:t>
            </w:r>
          </w:p>
        </w:tc>
        <w:tc>
          <w:tcPr>
            <w:tcW w:type="dxa" w:w="1303"/>
            <w:shd w:val="clear" w:color="auto" w:fill="E8F0FE"/>
          </w:tcPr>
          <w:p>
            <w:r>
              <w:rPr>
                <w:rFonts w:ascii="Times New Roman" w:hAnsi="Times New Roman"/>
                <w:sz w:val="18"/>
              </w:rPr>
              <w:t>37</w:t>
            </w:r>
          </w:p>
        </w:tc>
        <w:tc>
          <w:tcPr>
            <w:tcW w:type="dxa" w:w="1303"/>
            <w:shd w:val="clear" w:color="auto" w:fill="E8F0FE"/>
          </w:tcPr>
          <w:p>
            <w:r>
              <w:rPr>
                <w:rFonts w:ascii="Times New Roman" w:hAnsi="Times New Roman"/>
                <w:sz w:val="18"/>
              </w:rPr>
              <w:t>0.1540</w:t>
            </w:r>
          </w:p>
        </w:tc>
        <w:tc>
          <w:tcPr>
            <w:tcW w:type="dxa" w:w="1303"/>
            <w:shd w:val="clear" w:color="auto" w:fill="E8F0FE"/>
          </w:tcPr>
          <w:p>
            <w:r>
              <w:rPr>
                <w:rFonts w:ascii="Times New Roman" w:hAnsi="Times New Roman"/>
                <w:sz w:val="18"/>
              </w:rPr>
              <w:t>0.1388</w:t>
            </w:r>
          </w:p>
        </w:tc>
        <w:tc>
          <w:tcPr>
            <w:tcW w:type="dxa" w:w="1303"/>
            <w:shd w:val="clear" w:color="auto" w:fill="E8F0FE"/>
          </w:tcPr>
          <w:p>
            <w:r>
              <w:rPr>
                <w:rFonts w:ascii="Times New Roman" w:hAnsi="Times New Roman"/>
                <w:sz w:val="18"/>
              </w:rPr>
              <w:t>5118438.7300</w:t>
            </w:r>
          </w:p>
        </w:tc>
        <w:tc>
          <w:tcPr>
            <w:tcW w:type="dxa" w:w="1303"/>
            <w:shd w:val="clear" w:color="auto" w:fill="E8F0FE"/>
          </w:tcPr>
          <w:p>
            <w:r>
              <w:rPr>
                <w:rFonts w:ascii="Times New Roman" w:hAnsi="Times New Roman"/>
                <w:sz w:val="18"/>
              </w:rPr>
              <w:t>623205.4700</w:t>
            </w:r>
          </w:p>
        </w:tc>
        <w:tc>
          <w:tcPr>
            <w:tcW w:type="dxa" w:w="1303"/>
            <w:shd w:val="clear" w:color="auto" w:fill="E8F0FE"/>
          </w:tcPr>
          <w:p>
            <w:r>
              <w:rPr>
                <w:rFonts w:ascii="Times New Roman" w:hAnsi="Times New Roman"/>
                <w:sz w:val="18"/>
              </w:rPr>
              <w:t>0.1218</w:t>
            </w:r>
          </w:p>
        </w:tc>
      </w:tr>
      <w:tr>
        <w:tc>
          <w:tcPr>
            <w:tcW w:type="dxa" w:w="1303"/>
            <w:shd w:val="clear" w:color="auto" w:fill="FFFFFF"/>
          </w:tcPr>
          <w:p>
            <w:r>
              <w:rPr>
                <w:rFonts w:ascii="Times New Roman" w:hAnsi="Times New Roman"/>
                <w:sz w:val="18"/>
              </w:rPr>
              <w:t>2024</w:t>
            </w:r>
          </w:p>
        </w:tc>
        <w:tc>
          <w:tcPr>
            <w:tcW w:type="dxa" w:w="1303"/>
            <w:shd w:val="clear" w:color="auto" w:fill="FFFFFF"/>
          </w:tcPr>
          <w:p>
            <w:r>
              <w:rPr>
                <w:rFonts w:ascii="Times New Roman" w:hAnsi="Times New Roman"/>
                <w:sz w:val="18"/>
              </w:rPr>
              <w:t>57</w:t>
            </w:r>
          </w:p>
        </w:tc>
        <w:tc>
          <w:tcPr>
            <w:tcW w:type="dxa" w:w="1303"/>
            <w:shd w:val="clear" w:color="auto" w:fill="FFFFFF"/>
          </w:tcPr>
          <w:p>
            <w:r>
              <w:rPr>
                <w:rFonts w:ascii="Times New Roman" w:hAnsi="Times New Roman"/>
                <w:sz w:val="18"/>
              </w:rPr>
              <w:t>0.1835</w:t>
            </w:r>
          </w:p>
        </w:tc>
        <w:tc>
          <w:tcPr>
            <w:tcW w:type="dxa" w:w="1303"/>
            <w:shd w:val="clear" w:color="auto" w:fill="FFFFFF"/>
          </w:tcPr>
          <w:p>
            <w:r>
              <w:rPr>
                <w:rFonts w:ascii="Times New Roman" w:hAnsi="Times New Roman"/>
                <w:sz w:val="18"/>
              </w:rPr>
              <w:t>0.1606</w:t>
            </w:r>
          </w:p>
        </w:tc>
        <w:tc>
          <w:tcPr>
            <w:tcW w:type="dxa" w:w="1303"/>
            <w:shd w:val="clear" w:color="auto" w:fill="FFFFFF"/>
          </w:tcPr>
          <w:p>
            <w:r>
              <w:rPr>
                <w:rFonts w:ascii="Times New Roman" w:hAnsi="Times New Roman"/>
                <w:sz w:val="18"/>
              </w:rPr>
              <w:t>10286702.7800</w:t>
            </w:r>
          </w:p>
        </w:tc>
        <w:tc>
          <w:tcPr>
            <w:tcW w:type="dxa" w:w="1303"/>
            <w:shd w:val="clear" w:color="auto" w:fill="FFFFFF"/>
          </w:tcPr>
          <w:p>
            <w:r>
              <w:rPr>
                <w:rFonts w:ascii="Times New Roman" w:hAnsi="Times New Roman"/>
                <w:sz w:val="18"/>
              </w:rPr>
              <w:t>1388554.8300</w:t>
            </w:r>
          </w:p>
        </w:tc>
        <w:tc>
          <w:tcPr>
            <w:tcW w:type="dxa" w:w="1303"/>
            <w:shd w:val="clear" w:color="auto" w:fill="FFFFFF"/>
          </w:tcPr>
          <w:p>
            <w:r>
              <w:rPr>
                <w:rFonts w:ascii="Times New Roman" w:hAnsi="Times New Roman"/>
                <w:sz w:val="18"/>
              </w:rPr>
              <w:t>0.1350</w:t>
            </w:r>
          </w:p>
        </w:tc>
      </w:tr>
      <w:tr>
        <w:tc>
          <w:tcPr>
            <w:tcW w:type="dxa" w:w="1303"/>
            <w:shd w:val="clear" w:color="auto" w:fill="E8F0FE"/>
          </w:tcPr>
          <w:p>
            <w:r>
              <w:rPr>
                <w:rFonts w:ascii="Times New Roman" w:hAnsi="Times New Roman"/>
                <w:sz w:val="18"/>
              </w:rPr>
              <w:t>2025</w:t>
            </w:r>
          </w:p>
        </w:tc>
        <w:tc>
          <w:tcPr>
            <w:tcW w:type="dxa" w:w="1303"/>
            <w:shd w:val="clear" w:color="auto" w:fill="E8F0FE"/>
          </w:tcPr>
          <w:p>
            <w:r>
              <w:rPr>
                <w:rFonts w:ascii="Times New Roman" w:hAnsi="Times New Roman"/>
                <w:sz w:val="18"/>
              </w:rPr>
              <w:t>22</w:t>
            </w:r>
          </w:p>
        </w:tc>
        <w:tc>
          <w:tcPr>
            <w:tcW w:type="dxa" w:w="1303"/>
            <w:shd w:val="clear" w:color="auto" w:fill="E8F0FE"/>
          </w:tcPr>
          <w:p>
            <w:r>
              <w:rPr>
                <w:rFonts w:ascii="Times New Roman" w:hAnsi="Times New Roman"/>
                <w:sz w:val="18"/>
              </w:rPr>
              <w:t>0.9545</w:t>
            </w:r>
          </w:p>
        </w:tc>
        <w:tc>
          <w:tcPr>
            <w:tcW w:type="dxa" w:w="1303"/>
            <w:shd w:val="clear" w:color="auto" w:fill="E8F0FE"/>
          </w:tcPr>
          <w:p>
            <w:r>
              <w:rPr>
                <w:rFonts w:ascii="Times New Roman" w:hAnsi="Times New Roman"/>
                <w:sz w:val="18"/>
              </w:rPr>
              <w:t>0.8544</w:t>
            </w:r>
          </w:p>
        </w:tc>
        <w:tc>
          <w:tcPr>
            <w:tcW w:type="dxa" w:w="1303"/>
            <w:shd w:val="clear" w:color="auto" w:fill="E8F0FE"/>
          </w:tcPr>
          <w:p>
            <w:r>
              <w:rPr>
                <w:rFonts w:ascii="Times New Roman" w:hAnsi="Times New Roman"/>
                <w:sz w:val="18"/>
              </w:rPr>
              <w:t>3318797.1000</w:t>
            </w:r>
          </w:p>
        </w:tc>
        <w:tc>
          <w:tcPr>
            <w:tcW w:type="dxa" w:w="1303"/>
            <w:shd w:val="clear" w:color="auto" w:fill="E8F0FE"/>
          </w:tcPr>
          <w:p>
            <w:r>
              <w:rPr>
                <w:rFonts w:ascii="Times New Roman" w:hAnsi="Times New Roman"/>
                <w:sz w:val="18"/>
              </w:rPr>
              <w:t>3019239.4300</w:t>
            </w:r>
          </w:p>
        </w:tc>
        <w:tc>
          <w:tcPr>
            <w:tcW w:type="dxa" w:w="1303"/>
            <w:shd w:val="clear" w:color="auto" w:fill="E8F0FE"/>
          </w:tcPr>
          <w:p>
            <w:r>
              <w:rPr>
                <w:rFonts w:ascii="Times New Roman" w:hAnsi="Times New Roman"/>
                <w:sz w:val="18"/>
              </w:rPr>
              <w:t>0.9097</w:t>
            </w:r>
          </w:p>
        </w:tc>
      </w:tr>
    </w:tbl>
    <w:p/>
    <w:p>
      <w:pPr>
        <w:jc w:val="center"/>
      </w:pPr>
      <w:r>
        <w:drawing>
          <wp:inline xmlns:a="http://schemas.openxmlformats.org/drawingml/2006/main" xmlns:pic="http://schemas.openxmlformats.org/drawingml/2006/picture">
            <wp:extent cx="5040000" cy="2068636"/>
            <wp:docPr id="15" name="Picture 15"/>
            <wp:cNvGraphicFramePr>
              <a:graphicFrameLocks noChangeAspect="1"/>
            </wp:cNvGraphicFramePr>
            <a:graphic>
              <a:graphicData uri="http://schemas.openxmlformats.org/drawingml/2006/picture">
                <pic:pic>
                  <pic:nvPicPr>
                    <pic:cNvPr id="0" name="lgd_curva_recuperacion.png"/>
                    <pic:cNvPicPr/>
                  </pic:nvPicPr>
                  <pic:blipFill>
                    <a:blip r:embed="rId23"/>
                    <a:stretch>
                      <a:fillRect/>
                    </a:stretch>
                  </pic:blipFill>
                  <pic:spPr>
                    <a:xfrm>
                      <a:off x="0" y="0"/>
                      <a:ext cx="5040000" cy="2068636"/>
                    </a:xfrm>
                    <a:prstGeom prst="rect"/>
                  </pic:spPr>
                </pic:pic>
              </a:graphicData>
            </a:graphic>
          </wp:inline>
        </w:drawing>
      </w:r>
    </w:p>
    <w:p>
      <w:pPr>
        <w:jc w:val="center"/>
      </w:pPr>
      <w:r>
        <w:rPr>
          <w:rFonts w:ascii="Times New Roman" w:hAnsi="Times New Roman"/>
          <w:b w:val="0"/>
          <w:i/>
          <w:sz w:val="20"/>
        </w:rPr>
        <w:t>Figura 15. Distribución de la LGD realizada y curva de recuperación por período de workout.</w:t>
      </w:r>
    </w:p>
    <w:p/>
    <w:p>
      <w:pPr>
        <w:spacing w:before="0" w:after="120" w:line="360" w:lineRule="exact"/>
        <w:jc w:val="both"/>
      </w:pPr>
      <w:r>
        <w:rPr>
          <w:rFonts w:ascii="Times New Roman" w:hAnsi="Times New Roman"/>
          <w:b w:val="0"/>
          <w:i w:val="0"/>
          <w:sz w:val="24"/>
        </w:rPr>
        <w:t>Sobre la LGD media observada se aplica un add-on de downturn de 5% (CRR art. 181.1.b), para reflejar una LGD apropiada en condiciones de recesión económica, superior a la media del ciclo completo observado en la muestra.</w:t>
      </w:r>
    </w:p>
    <w:p>
      <w:pPr>
        <w:pStyle w:val="Heading2"/>
        <w:jc w:val="left"/>
      </w:pPr>
      <w:r>
        <w:rPr>
          <w:rFonts w:ascii="Times New Roman" w:hAnsi="Times New Roman"/>
          <w:b/>
          <w:color w:val="000000"/>
          <w:sz w:val="26"/>
        </w:rPr>
        <w:t>13.4 EAD, Factores de Conversión Crediticia y Alcance Cambiario</w:t>
      </w:r>
    </w:p>
    <w:p>
      <w:pPr>
        <w:spacing w:before="0" w:after="120" w:line="360" w:lineRule="exact"/>
        <w:jc w:val="both"/>
      </w:pPr>
      <w:r>
        <w:rPr>
          <w:rFonts w:ascii="Times New Roman" w:hAnsi="Times New Roman"/>
          <w:b w:val="0"/>
          <w:i w:val="0"/>
          <w:sz w:val="24"/>
        </w:rPr>
        <w:t>Exposure at Default (Control 8.1): para facilidades amortizables, la EAD proyectada se construye a partir del esquema de amortización teórica de un préstamo francés (cuota constante), corregido por la velocidad de prepago observada:</w:t>
      </w:r>
    </w:p>
    <w:p>
      <w:pPr>
        <w:spacing w:before="80" w:after="80"/>
        <w:ind w:left="567"/>
        <w:shd w:val="clear" w:color="auto" w:fill="F2F2F2"/>
      </w:pPr>
      <w:r>
        <w:rPr>
          <w:rFonts w:ascii="Courier New" w:hAnsi="Courier New"/>
          <w:sz w:val="18"/>
        </w:rPr>
        <w:t>EAD_t = UPB_0 * [(1+i)^n - (1+i)^t] / [(1+i)^n - 1]      (amortización teórica)</w:t>
        <w:br/>
        <w:t>SMM_t = (EAD_teórico_t - UPB_observado_t) / EAD_teórico_t</w:t>
        <w:br/>
        <w:t>CPR   = 1 - (1 - SMM)^12                                  (prepago anualizado)</w:t>
        <w:br/>
        <w:t>EAD_{12m} = EAD_teórico_{t+12} * (1 - CPR) + Interés_devengado_impago</w:t>
      </w:r>
    </w:p>
    <w:p>
      <w:pPr>
        <w:spacing w:before="0" w:after="120" w:line="360" w:lineRule="exact"/>
        <w:jc w:val="both"/>
      </w:pPr>
      <w:r>
        <w:rPr>
          <w:rFonts w:ascii="Times New Roman" w:hAnsi="Times New Roman"/>
          <w:b w:val="0"/>
          <w:i w:val="0"/>
          <w:sz w:val="24"/>
        </w:rPr>
        <w:t>con i = tasa nominal anual / 12 y n = plazo original en meses. El residual entre el saldo teórico y el saldo efectivamente observado revela la amortización anticipada (prepago), de la cual se deriva la métrica estándar de mercado hipotecario CPR (Conditional Prepayment Rate).</w:t>
      </w:r>
    </w:p>
    <w:p>
      <w:pPr>
        <w:jc w:val="center"/>
      </w:pPr>
      <w:r>
        <w:rPr>
          <w:rFonts w:ascii="Times New Roman" w:hAnsi="Times New Roman"/>
          <w:b w:val="0"/>
          <w:i/>
          <w:sz w:val="20"/>
        </w:rPr>
        <w:t>Tabla 11. Resumen de la proyección de EAD a 12 meses y alcance de CCF/divisa</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E79"/>
          </w:tcPr>
          <w:p>
            <w:r>
              <w:rPr>
                <w:rFonts w:ascii="Times New Roman" w:hAnsi="Times New Roman"/>
                <w:b/>
                <w:color w:val="FFFFFF"/>
                <w:sz w:val="18"/>
              </w:rPr>
              <w:t>parámetro</w:t>
            </w:r>
          </w:p>
        </w:tc>
        <w:tc>
          <w:tcPr>
            <w:tcW w:type="dxa" w:w="4561"/>
            <w:shd w:val="clear" w:color="auto" w:fill="1F4E79"/>
          </w:tcPr>
          <w:p>
            <w:r>
              <w:rPr>
                <w:rFonts w:ascii="Times New Roman" w:hAnsi="Times New Roman"/>
                <w:b/>
                <w:color w:val="FFFFFF"/>
                <w:sz w:val="18"/>
              </w:rPr>
              <w:t>valor</w:t>
            </w:r>
          </w:p>
        </w:tc>
      </w:tr>
      <w:tr>
        <w:tc>
          <w:tcPr>
            <w:tcW w:type="dxa" w:w="4561"/>
            <w:shd w:val="clear" w:color="auto" w:fill="FFFFFF"/>
          </w:tcPr>
          <w:p>
            <w:r>
              <w:rPr>
                <w:rFonts w:ascii="Times New Roman" w:hAnsi="Times New Roman"/>
                <w:sz w:val="18"/>
              </w:rPr>
              <w:t>moneda_base</w:t>
            </w:r>
          </w:p>
        </w:tc>
        <w:tc>
          <w:tcPr>
            <w:tcW w:type="dxa" w:w="4561"/>
            <w:shd w:val="clear" w:color="auto" w:fill="FFFFFF"/>
          </w:tcPr>
          <w:p>
            <w:r>
              <w:rPr>
                <w:rFonts w:ascii="Times New Roman" w:hAnsi="Times New Roman"/>
                <w:sz w:val="18"/>
              </w:rPr>
              <w:t>USD</w:t>
            </w:r>
          </w:p>
        </w:tc>
      </w:tr>
      <w:tr>
        <w:tc>
          <w:tcPr>
            <w:tcW w:type="dxa" w:w="4561"/>
            <w:shd w:val="clear" w:color="auto" w:fill="E8F0FE"/>
          </w:tcPr>
          <w:p>
            <w:r>
              <w:rPr>
                <w:rFonts w:ascii="Times New Roman" w:hAnsi="Times New Roman"/>
                <w:sz w:val="18"/>
              </w:rPr>
              <w:t>cartera_multidivisa</w:t>
            </w:r>
          </w:p>
        </w:tc>
        <w:tc>
          <w:tcPr>
            <w:tcW w:type="dxa" w:w="4561"/>
            <w:shd w:val="clear" w:color="auto" w:fill="E8F0FE"/>
          </w:tcPr>
          <w:p>
            <w:r>
              <w:rPr>
                <w:rFonts w:ascii="Times New Roman" w:hAnsi="Times New Roman"/>
                <w:sz w:val="18"/>
              </w:rPr>
              <w:t>False</w:t>
            </w:r>
          </w:p>
        </w:tc>
      </w:tr>
      <w:tr>
        <w:tc>
          <w:tcPr>
            <w:tcW w:type="dxa" w:w="4561"/>
            <w:shd w:val="clear" w:color="auto" w:fill="FFFFFF"/>
          </w:tcPr>
          <w:p>
            <w:r>
              <w:rPr>
                <w:rFonts w:ascii="Times New Roman" w:hAnsi="Times New Roman"/>
                <w:sz w:val="18"/>
              </w:rPr>
              <w:t>horizonte_meses</w:t>
            </w:r>
          </w:p>
        </w:tc>
        <w:tc>
          <w:tcPr>
            <w:tcW w:type="dxa" w:w="4561"/>
            <w:shd w:val="clear" w:color="auto" w:fill="FFFFFF"/>
          </w:tcPr>
          <w:p>
            <w:r>
              <w:rPr>
                <w:rFonts w:ascii="Times New Roman" w:hAnsi="Times New Roman"/>
                <w:sz w:val="18"/>
              </w:rPr>
              <w:t>12</w:t>
            </w:r>
          </w:p>
        </w:tc>
      </w:tr>
      <w:tr>
        <w:tc>
          <w:tcPr>
            <w:tcW w:type="dxa" w:w="4561"/>
            <w:shd w:val="clear" w:color="auto" w:fill="E8F0FE"/>
          </w:tcPr>
          <w:p>
            <w:r>
              <w:rPr>
                <w:rFonts w:ascii="Times New Roman" w:hAnsi="Times New Roman"/>
                <w:sz w:val="18"/>
              </w:rPr>
              <w:t>n_exposiciones_vivas</w:t>
            </w:r>
          </w:p>
        </w:tc>
        <w:tc>
          <w:tcPr>
            <w:tcW w:type="dxa" w:w="4561"/>
            <w:shd w:val="clear" w:color="auto" w:fill="E8F0FE"/>
          </w:tcPr>
          <w:p>
            <w:r>
              <w:rPr>
                <w:rFonts w:ascii="Times New Roman" w:hAnsi="Times New Roman"/>
                <w:sz w:val="18"/>
              </w:rPr>
              <w:t>14424701</w:t>
            </w:r>
          </w:p>
        </w:tc>
      </w:tr>
      <w:tr>
        <w:tc>
          <w:tcPr>
            <w:tcW w:type="dxa" w:w="4561"/>
            <w:shd w:val="clear" w:color="auto" w:fill="FFFFFF"/>
          </w:tcPr>
          <w:p>
            <w:r>
              <w:rPr>
                <w:rFonts w:ascii="Times New Roman" w:hAnsi="Times New Roman"/>
                <w:sz w:val="18"/>
              </w:rPr>
              <w:t>upb_actual_medio</w:t>
            </w:r>
          </w:p>
        </w:tc>
        <w:tc>
          <w:tcPr>
            <w:tcW w:type="dxa" w:w="4561"/>
            <w:shd w:val="clear" w:color="auto" w:fill="FFFFFF"/>
          </w:tcPr>
          <w:p>
            <w:r>
              <w:rPr>
                <w:rFonts w:ascii="Times New Roman" w:hAnsi="Times New Roman"/>
                <w:sz w:val="18"/>
              </w:rPr>
              <w:t>229359.81</w:t>
            </w:r>
          </w:p>
        </w:tc>
      </w:tr>
      <w:tr>
        <w:tc>
          <w:tcPr>
            <w:tcW w:type="dxa" w:w="4561"/>
            <w:shd w:val="clear" w:color="auto" w:fill="E8F0FE"/>
          </w:tcPr>
          <w:p>
            <w:r>
              <w:rPr>
                <w:rFonts w:ascii="Times New Roman" w:hAnsi="Times New Roman"/>
                <w:sz w:val="18"/>
              </w:rPr>
              <w:t>upb_teorico_12m_medio</w:t>
            </w:r>
          </w:p>
        </w:tc>
        <w:tc>
          <w:tcPr>
            <w:tcW w:type="dxa" w:w="4561"/>
            <w:shd w:val="clear" w:color="auto" w:fill="E8F0FE"/>
          </w:tcPr>
          <w:p>
            <w:r>
              <w:rPr>
                <w:rFonts w:ascii="Times New Roman" w:hAnsi="Times New Roman"/>
                <w:sz w:val="18"/>
              </w:rPr>
              <w:t>227892.65</w:t>
            </w:r>
          </w:p>
        </w:tc>
      </w:tr>
      <w:tr>
        <w:tc>
          <w:tcPr>
            <w:tcW w:type="dxa" w:w="4561"/>
            <w:shd w:val="clear" w:color="auto" w:fill="FFFFFF"/>
          </w:tcPr>
          <w:p>
            <w:r>
              <w:rPr>
                <w:rFonts w:ascii="Times New Roman" w:hAnsi="Times New Roman"/>
                <w:sz w:val="18"/>
              </w:rPr>
              <w:t>cpr_anual_media</w:t>
            </w:r>
          </w:p>
        </w:tc>
        <w:tc>
          <w:tcPr>
            <w:tcW w:type="dxa" w:w="4561"/>
            <w:shd w:val="clear" w:color="auto" w:fill="FFFFFF"/>
          </w:tcPr>
          <w:p>
            <w:r>
              <w:rPr>
                <w:rFonts w:ascii="Times New Roman" w:hAnsi="Times New Roman"/>
                <w:sz w:val="18"/>
              </w:rPr>
              <w:t>0.0086</w:t>
            </w:r>
          </w:p>
        </w:tc>
      </w:tr>
      <w:tr>
        <w:tc>
          <w:tcPr>
            <w:tcW w:type="dxa" w:w="4561"/>
            <w:shd w:val="clear" w:color="auto" w:fill="E8F0FE"/>
          </w:tcPr>
          <w:p>
            <w:r>
              <w:rPr>
                <w:rFonts w:ascii="Times New Roman" w:hAnsi="Times New Roman"/>
                <w:sz w:val="18"/>
              </w:rPr>
              <w:t>interes_devengado_medio</w:t>
            </w:r>
          </w:p>
        </w:tc>
        <w:tc>
          <w:tcPr>
            <w:tcW w:type="dxa" w:w="4561"/>
            <w:shd w:val="clear" w:color="auto" w:fill="E8F0FE"/>
          </w:tcPr>
          <w:p>
            <w:r>
              <w:rPr>
                <w:rFonts w:ascii="Times New Roman" w:hAnsi="Times New Roman"/>
                <w:sz w:val="18"/>
              </w:rPr>
              <w:t>2525.81</w:t>
            </w:r>
          </w:p>
        </w:tc>
      </w:tr>
      <w:tr>
        <w:tc>
          <w:tcPr>
            <w:tcW w:type="dxa" w:w="4561"/>
            <w:shd w:val="clear" w:color="auto" w:fill="FFFFFF"/>
          </w:tcPr>
          <w:p>
            <w:r>
              <w:rPr>
                <w:rFonts w:ascii="Times New Roman" w:hAnsi="Times New Roman"/>
                <w:sz w:val="18"/>
              </w:rPr>
              <w:t>ead_proyectada_media</w:t>
            </w:r>
          </w:p>
        </w:tc>
        <w:tc>
          <w:tcPr>
            <w:tcW w:type="dxa" w:w="4561"/>
            <w:shd w:val="clear" w:color="auto" w:fill="FFFFFF"/>
          </w:tcPr>
          <w:p>
            <w:r>
              <w:rPr>
                <w:rFonts w:ascii="Times New Roman" w:hAnsi="Times New Roman"/>
                <w:sz w:val="18"/>
              </w:rPr>
              <w:t>228450.38</w:t>
            </w:r>
          </w:p>
        </w:tc>
      </w:tr>
      <w:tr>
        <w:tc>
          <w:tcPr>
            <w:tcW w:type="dxa" w:w="4561"/>
            <w:shd w:val="clear" w:color="auto" w:fill="E8F0FE"/>
          </w:tcPr>
          <w:p>
            <w:r>
              <w:rPr>
                <w:rFonts w:ascii="Times New Roman" w:hAnsi="Times New Roman"/>
                <w:sz w:val="18"/>
              </w:rPr>
              <w:t>ead_sobre_upb_actual</w:t>
            </w:r>
          </w:p>
        </w:tc>
        <w:tc>
          <w:tcPr>
            <w:tcW w:type="dxa" w:w="4561"/>
            <w:shd w:val="clear" w:color="auto" w:fill="E8F0FE"/>
          </w:tcPr>
          <w:p>
            <w:r>
              <w:rPr>
                <w:rFonts w:ascii="Times New Roman" w:hAnsi="Times New Roman"/>
                <w:sz w:val="18"/>
              </w:rPr>
              <w:t>0.996</w:t>
            </w:r>
          </w:p>
        </w:tc>
      </w:tr>
      <w:tr>
        <w:tc>
          <w:tcPr>
            <w:tcW w:type="dxa" w:w="4561"/>
            <w:shd w:val="clear" w:color="auto" w:fill="FFFFFF"/>
          </w:tcPr>
          <w:p>
            <w:r>
              <w:rPr>
                <w:rFonts w:ascii="Times New Roman" w:hAnsi="Times New Roman"/>
                <w:sz w:val="18"/>
              </w:rPr>
              <w:t>ccf_off_balance</w:t>
            </w:r>
          </w:p>
        </w:tc>
        <w:tc>
          <w:tcPr>
            <w:tcW w:type="dxa" w:w="4561"/>
            <w:shd w:val="clear" w:color="auto" w:fill="FFFFFF"/>
          </w:tcPr>
          <w:p>
            <w:r>
              <w:rPr>
                <w:rFonts w:ascii="Times New Roman" w:hAnsi="Times New Roman"/>
                <w:sz w:val="18"/>
              </w:rPr>
              <w:t>0.0</w:t>
            </w:r>
          </w:p>
        </w:tc>
      </w:tr>
      <w:tr>
        <w:tc>
          <w:tcPr>
            <w:tcW w:type="dxa" w:w="4561"/>
            <w:shd w:val="clear" w:color="auto" w:fill="E8F0FE"/>
          </w:tcPr>
          <w:p>
            <w:r>
              <w:rPr>
                <w:rFonts w:ascii="Times New Roman" w:hAnsi="Times New Roman"/>
                <w:sz w:val="18"/>
              </w:rPr>
              <w:t>error_medio_amortizacion_pct</w:t>
            </w:r>
          </w:p>
        </w:tc>
        <w:tc>
          <w:tcPr>
            <w:tcW w:type="dxa" w:w="4561"/>
            <w:shd w:val="clear" w:color="auto" w:fill="E8F0FE"/>
          </w:tcPr>
          <w:p>
            <w:r>
              <w:rPr>
                <w:rFonts w:ascii="Times New Roman" w:hAnsi="Times New Roman"/>
                <w:sz w:val="18"/>
              </w:rPr>
              <w:t>3.529</w:t>
            </w:r>
          </w:p>
        </w:tc>
      </w:tr>
    </w:tbl>
    <w:p/>
    <w:p>
      <w:pPr>
        <w:jc w:val="center"/>
      </w:pPr>
      <w:r>
        <w:drawing>
          <wp:inline xmlns:a="http://schemas.openxmlformats.org/drawingml/2006/main" xmlns:pic="http://schemas.openxmlformats.org/drawingml/2006/picture">
            <wp:extent cx="5040000" cy="2068636"/>
            <wp:docPr id="16" name="Picture 16"/>
            <wp:cNvGraphicFramePr>
              <a:graphicFrameLocks noChangeAspect="1"/>
            </wp:cNvGraphicFramePr>
            <a:graphic>
              <a:graphicData uri="http://schemas.openxmlformats.org/drawingml/2006/picture">
                <pic:pic>
                  <pic:nvPicPr>
                    <pic:cNvPr id="0" name="ead_amortizacion_prepago.png"/>
                    <pic:cNvPicPr/>
                  </pic:nvPicPr>
                  <pic:blipFill>
                    <a:blip r:embed="rId24"/>
                    <a:stretch>
                      <a:fillRect/>
                    </a:stretch>
                  </pic:blipFill>
                  <pic:spPr>
                    <a:xfrm>
                      <a:off x="0" y="0"/>
                      <a:ext cx="5040000" cy="2068636"/>
                    </a:xfrm>
                    <a:prstGeom prst="rect"/>
                  </pic:spPr>
                </pic:pic>
              </a:graphicData>
            </a:graphic>
          </wp:inline>
        </w:drawing>
      </w:r>
    </w:p>
    <w:p>
      <w:pPr>
        <w:jc w:val="center"/>
      </w:pPr>
      <w:r>
        <w:rPr>
          <w:rFonts w:ascii="Times New Roman" w:hAnsi="Times New Roman"/>
          <w:b w:val="0"/>
          <w:i/>
          <w:sz w:val="20"/>
        </w:rPr>
        <w:t>Figura 16. Saldo teórico vs. observado y velocidad de prepago (CPR) por antigüedad del préstamo.</w:t>
      </w:r>
    </w:p>
    <w:p/>
    <w:p>
      <w:pPr>
        <w:spacing w:before="0" w:after="120" w:line="360" w:lineRule="exact"/>
        <w:jc w:val="both"/>
      </w:pPr>
      <w:r>
        <w:rPr>
          <w:rFonts w:ascii="Times New Roman" w:hAnsi="Times New Roman"/>
          <w:b w:val="0"/>
          <w:i w:val="0"/>
          <w:sz w:val="24"/>
        </w:rPr>
        <w:t>Factores de Conversión Crediticia (Control 8.2): la cartera analizada está compuesta exclusivamente por préstamos hipotecarios cerrados, íntegramente desembolsados y amortizables (FRM/ARM). No existen líneas revolving, compromisos no dispuestos ni saldos contingentes, por lo que CCF = 0% sobre el fuera de balance: la EAD coincide con el saldo en balance. Se documentan a continuación los CCF regulatorios estándar (CRR art. 111 / Basilea III, enfoque estándar) que aplicarían de extenderse el alcance a líneas de crédito comprometidas o garantías financieras.</w:t>
      </w:r>
    </w:p>
    <w:p>
      <w:pPr>
        <w:jc w:val="center"/>
      </w:pPr>
      <w:r>
        <w:rPr>
          <w:rFonts w:ascii="Times New Roman" w:hAnsi="Times New Roman"/>
          <w:b w:val="0"/>
          <w:i/>
          <w:sz w:val="20"/>
        </w:rPr>
        <w:t>Tabla 12. Delimitación de alcance de exposiciones fuera de balance y CCF regulatorios de referencia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Pr>
                <w:rFonts w:ascii="Times New Roman" w:hAnsi="Times New Roman"/>
                <w:b/>
                <w:color w:val="FFFFFF"/>
                <w:sz w:val="18"/>
              </w:rPr>
              <w:t>tipo_exposicion</w:t>
            </w:r>
          </w:p>
        </w:tc>
        <w:tc>
          <w:tcPr>
            <w:tcW w:type="dxa" w:w="1824"/>
            <w:shd w:val="clear" w:color="auto" w:fill="1F4E79"/>
          </w:tcPr>
          <w:p>
            <w:r>
              <w:rPr>
                <w:rFonts w:ascii="Times New Roman" w:hAnsi="Times New Roman"/>
                <w:b/>
                <w:color w:val="FFFFFF"/>
                <w:sz w:val="18"/>
              </w:rPr>
              <w:t>presente_en_cartera</w:t>
            </w:r>
          </w:p>
        </w:tc>
        <w:tc>
          <w:tcPr>
            <w:tcW w:type="dxa" w:w="1824"/>
            <w:shd w:val="clear" w:color="auto" w:fill="1F4E79"/>
          </w:tcPr>
          <w:p>
            <w:r>
              <w:rPr>
                <w:rFonts w:ascii="Times New Roman" w:hAnsi="Times New Roman"/>
                <w:b/>
                <w:color w:val="FFFFFF"/>
                <w:sz w:val="18"/>
              </w:rPr>
              <w:t>saldo_contingente</w:t>
            </w:r>
          </w:p>
        </w:tc>
        <w:tc>
          <w:tcPr>
            <w:tcW w:type="dxa" w:w="1824"/>
            <w:shd w:val="clear" w:color="auto" w:fill="1F4E79"/>
          </w:tcPr>
          <w:p>
            <w:r>
              <w:rPr>
                <w:rFonts w:ascii="Times New Roman" w:hAnsi="Times New Roman"/>
                <w:b/>
                <w:color w:val="FFFFFF"/>
                <w:sz w:val="18"/>
              </w:rPr>
              <w:t>CCF_aplicado</w:t>
            </w:r>
          </w:p>
        </w:tc>
        <w:tc>
          <w:tcPr>
            <w:tcW w:type="dxa" w:w="1824"/>
            <w:shd w:val="clear" w:color="auto" w:fill="1F4E79"/>
          </w:tcPr>
          <w:p>
            <w:r>
              <w:rPr>
                <w:rFonts w:ascii="Times New Roman" w:hAnsi="Times New Roman"/>
                <w:b/>
                <w:color w:val="FFFFFF"/>
                <w:sz w:val="18"/>
              </w:rPr>
              <w:t>fundamento</w:t>
            </w:r>
          </w:p>
        </w:tc>
      </w:tr>
      <w:tr>
        <w:tc>
          <w:tcPr>
            <w:tcW w:type="dxa" w:w="1824"/>
            <w:shd w:val="clear" w:color="auto" w:fill="FFFFFF"/>
          </w:tcPr>
          <w:p>
            <w:r>
              <w:rPr>
                <w:rFonts w:ascii="Times New Roman" w:hAnsi="Times New Roman"/>
                <w:sz w:val="18"/>
              </w:rPr>
              <w:t>Préstamo hipotecario cerrado, totalmente desembolsado</w:t>
            </w:r>
          </w:p>
        </w:tc>
        <w:tc>
          <w:tcPr>
            <w:tcW w:type="dxa" w:w="1824"/>
            <w:shd w:val="clear" w:color="auto" w:fill="FFFFFF"/>
          </w:tcPr>
          <w:p>
            <w:r>
              <w:rPr>
                <w:rFonts w:ascii="Times New Roman" w:hAnsi="Times New Roman"/>
                <w:sz w:val="18"/>
              </w:rPr>
              <w:t>Sí (100 %)</w:t>
            </w:r>
          </w:p>
        </w:tc>
        <w:tc>
          <w:tcPr>
            <w:tcW w:type="dxa" w:w="1824"/>
            <w:shd w:val="clear" w:color="auto" w:fill="FFFFFF"/>
          </w:tcPr>
          <w:p>
            <w:r>
              <w:rPr>
                <w:rFonts w:ascii="Times New Roman" w:hAnsi="Times New Roman"/>
                <w:sz w:val="18"/>
              </w:rPr>
              <w:t>No</w:t>
            </w:r>
          </w:p>
        </w:tc>
        <w:tc>
          <w:tcPr>
            <w:tcW w:type="dxa" w:w="1824"/>
            <w:shd w:val="clear" w:color="auto" w:fill="FFFFFF"/>
          </w:tcPr>
          <w:p>
            <w:r>
              <w:rPr>
                <w:rFonts w:ascii="Times New Roman" w:hAnsi="Times New Roman"/>
                <w:sz w:val="18"/>
              </w:rPr>
              <w:t>0.0000</w:t>
            </w:r>
          </w:p>
        </w:tc>
        <w:tc>
          <w:tcPr>
            <w:tcW w:type="dxa" w:w="1824"/>
            <w:shd w:val="clear" w:color="auto" w:fill="FFFFFF"/>
          </w:tcPr>
          <w:p>
            <w:r>
              <w:rPr>
                <w:rFonts w:ascii="Times New Roman" w:hAnsi="Times New Roman"/>
                <w:sz w:val="18"/>
              </w:rPr>
              <w:t>No existe importe no dispuesto: la EAD es el saldo en balance</w:t>
            </w:r>
          </w:p>
        </w:tc>
      </w:tr>
      <w:tr>
        <w:tc>
          <w:tcPr>
            <w:tcW w:type="dxa" w:w="1824"/>
            <w:shd w:val="clear" w:color="auto" w:fill="E8F0FE"/>
          </w:tcPr>
          <w:p>
            <w:r>
              <w:rPr>
                <w:rFonts w:ascii="Times New Roman" w:hAnsi="Times New Roman"/>
                <w:sz w:val="18"/>
              </w:rPr>
              <w:t>Compromiso revocable sin previo aviso</w:t>
            </w:r>
          </w:p>
        </w:tc>
        <w:tc>
          <w:tcPr>
            <w:tcW w:type="dxa" w:w="1824"/>
            <w:shd w:val="clear" w:color="auto" w:fill="E8F0FE"/>
          </w:tcPr>
          <w:p>
            <w:r>
              <w:rPr>
                <w:rFonts w:ascii="Times New Roman" w:hAnsi="Times New Roman"/>
                <w:sz w:val="18"/>
              </w:rPr>
              <w:t>No</w:t>
            </w:r>
          </w:p>
        </w:tc>
        <w:tc>
          <w:tcPr>
            <w:tcW w:type="dxa" w:w="1824"/>
            <w:shd w:val="clear" w:color="auto" w:fill="E8F0FE"/>
          </w:tcPr>
          <w:p>
            <w:r>
              <w:rPr>
                <w:rFonts w:ascii="Times New Roman" w:hAnsi="Times New Roman"/>
                <w:sz w:val="18"/>
              </w:rPr>
              <w:t>Sí</w:t>
            </w:r>
          </w:p>
        </w:tc>
        <w:tc>
          <w:tcPr>
            <w:tcW w:type="dxa" w:w="1824"/>
            <w:shd w:val="clear" w:color="auto" w:fill="E8F0FE"/>
          </w:tcPr>
          <w:p>
            <w:r>
              <w:rPr>
                <w:rFonts w:ascii="Times New Roman" w:hAnsi="Times New Roman"/>
                <w:sz w:val="18"/>
              </w:rPr>
              <w:t>0.1000</w:t>
            </w:r>
          </w:p>
        </w:tc>
        <w:tc>
          <w:tcPr>
            <w:tcW w:type="dxa" w:w="1824"/>
            <w:shd w:val="clear" w:color="auto" w:fill="E8F0FE"/>
          </w:tcPr>
          <w:p>
            <w:r>
              <w:rPr>
                <w:rFonts w:ascii="Times New Roman" w:hAnsi="Times New Roman"/>
                <w:sz w:val="18"/>
              </w:rPr>
              <w:t>CCF regulatorio estándar; documentado para extensión del alcance</w:t>
            </w:r>
          </w:p>
        </w:tc>
      </w:tr>
      <w:tr>
        <w:tc>
          <w:tcPr>
            <w:tcW w:type="dxa" w:w="1824"/>
            <w:shd w:val="clear" w:color="auto" w:fill="FFFFFF"/>
          </w:tcPr>
          <w:p>
            <w:r>
              <w:rPr>
                <w:rFonts w:ascii="Times New Roman" w:hAnsi="Times New Roman"/>
                <w:sz w:val="18"/>
              </w:rPr>
              <w:t>Compromiso irrevocable con vencimiento original ≤ 1 año</w:t>
            </w:r>
          </w:p>
        </w:tc>
        <w:tc>
          <w:tcPr>
            <w:tcW w:type="dxa" w:w="1824"/>
            <w:shd w:val="clear" w:color="auto" w:fill="FFFFFF"/>
          </w:tcPr>
          <w:p>
            <w:r>
              <w:rPr>
                <w:rFonts w:ascii="Times New Roman" w:hAnsi="Times New Roman"/>
                <w:sz w:val="18"/>
              </w:rPr>
              <w:t>No</w:t>
            </w:r>
          </w:p>
        </w:tc>
        <w:tc>
          <w:tcPr>
            <w:tcW w:type="dxa" w:w="1824"/>
            <w:shd w:val="clear" w:color="auto" w:fill="FFFFFF"/>
          </w:tcPr>
          <w:p>
            <w:r>
              <w:rPr>
                <w:rFonts w:ascii="Times New Roman" w:hAnsi="Times New Roman"/>
                <w:sz w:val="18"/>
              </w:rPr>
              <w:t>Sí</w:t>
            </w:r>
          </w:p>
        </w:tc>
        <w:tc>
          <w:tcPr>
            <w:tcW w:type="dxa" w:w="1824"/>
            <w:shd w:val="clear" w:color="auto" w:fill="FFFFFF"/>
          </w:tcPr>
          <w:p>
            <w:r>
              <w:rPr>
                <w:rFonts w:ascii="Times New Roman" w:hAnsi="Times New Roman"/>
                <w:sz w:val="18"/>
              </w:rPr>
              <w:t>0.2000</w:t>
            </w:r>
          </w:p>
        </w:tc>
        <w:tc>
          <w:tcPr>
            <w:tcW w:type="dxa" w:w="1824"/>
            <w:shd w:val="clear" w:color="auto" w:fill="FFFFFF"/>
          </w:tcPr>
          <w:p>
            <w:r>
              <w:rPr>
                <w:rFonts w:ascii="Times New Roman" w:hAnsi="Times New Roman"/>
                <w:sz w:val="18"/>
              </w:rPr>
              <w:t>CCF regulatorio estándar; documentado para extensión del alcance</w:t>
            </w:r>
          </w:p>
        </w:tc>
      </w:tr>
      <w:tr>
        <w:tc>
          <w:tcPr>
            <w:tcW w:type="dxa" w:w="1824"/>
            <w:shd w:val="clear" w:color="auto" w:fill="E8F0FE"/>
          </w:tcPr>
          <w:p>
            <w:r>
              <w:rPr>
                <w:rFonts w:ascii="Times New Roman" w:hAnsi="Times New Roman"/>
                <w:sz w:val="18"/>
              </w:rPr>
              <w:t>Compromiso irrevocable con vencimiento original &gt; 1 año</w:t>
            </w:r>
          </w:p>
        </w:tc>
        <w:tc>
          <w:tcPr>
            <w:tcW w:type="dxa" w:w="1824"/>
            <w:shd w:val="clear" w:color="auto" w:fill="E8F0FE"/>
          </w:tcPr>
          <w:p>
            <w:r>
              <w:rPr>
                <w:rFonts w:ascii="Times New Roman" w:hAnsi="Times New Roman"/>
                <w:sz w:val="18"/>
              </w:rPr>
              <w:t>No</w:t>
            </w:r>
          </w:p>
        </w:tc>
        <w:tc>
          <w:tcPr>
            <w:tcW w:type="dxa" w:w="1824"/>
            <w:shd w:val="clear" w:color="auto" w:fill="E8F0FE"/>
          </w:tcPr>
          <w:p>
            <w:r>
              <w:rPr>
                <w:rFonts w:ascii="Times New Roman" w:hAnsi="Times New Roman"/>
                <w:sz w:val="18"/>
              </w:rPr>
              <w:t>Sí</w:t>
            </w:r>
          </w:p>
        </w:tc>
        <w:tc>
          <w:tcPr>
            <w:tcW w:type="dxa" w:w="1824"/>
            <w:shd w:val="clear" w:color="auto" w:fill="E8F0FE"/>
          </w:tcPr>
          <w:p>
            <w:r>
              <w:rPr>
                <w:rFonts w:ascii="Times New Roman" w:hAnsi="Times New Roman"/>
                <w:sz w:val="18"/>
              </w:rPr>
              <w:t>0.5000</w:t>
            </w:r>
          </w:p>
        </w:tc>
        <w:tc>
          <w:tcPr>
            <w:tcW w:type="dxa" w:w="1824"/>
            <w:shd w:val="clear" w:color="auto" w:fill="E8F0FE"/>
          </w:tcPr>
          <w:p>
            <w:r>
              <w:rPr>
                <w:rFonts w:ascii="Times New Roman" w:hAnsi="Times New Roman"/>
                <w:sz w:val="18"/>
              </w:rPr>
              <w:t>CCF regulatorio estándar; documentado para extensión del alcance</w:t>
            </w:r>
          </w:p>
        </w:tc>
      </w:tr>
      <w:tr>
        <w:tc>
          <w:tcPr>
            <w:tcW w:type="dxa" w:w="1824"/>
            <w:shd w:val="clear" w:color="auto" w:fill="FFFFFF"/>
          </w:tcPr>
          <w:p>
            <w:r>
              <w:rPr>
                <w:rFonts w:ascii="Times New Roman" w:hAnsi="Times New Roman"/>
                <w:sz w:val="18"/>
              </w:rPr>
              <w:t>Línea revolving no comprometida (HELOC, tarjeta)</w:t>
            </w:r>
          </w:p>
        </w:tc>
        <w:tc>
          <w:tcPr>
            <w:tcW w:type="dxa" w:w="1824"/>
            <w:shd w:val="clear" w:color="auto" w:fill="FFFFFF"/>
          </w:tcPr>
          <w:p>
            <w:r>
              <w:rPr>
                <w:rFonts w:ascii="Times New Roman" w:hAnsi="Times New Roman"/>
                <w:sz w:val="18"/>
              </w:rPr>
              <w:t>No</w:t>
            </w:r>
          </w:p>
        </w:tc>
        <w:tc>
          <w:tcPr>
            <w:tcW w:type="dxa" w:w="1824"/>
            <w:shd w:val="clear" w:color="auto" w:fill="FFFFFF"/>
          </w:tcPr>
          <w:p>
            <w:r>
              <w:rPr>
                <w:rFonts w:ascii="Times New Roman" w:hAnsi="Times New Roman"/>
                <w:sz w:val="18"/>
              </w:rPr>
              <w:t>Sí</w:t>
            </w:r>
          </w:p>
        </w:tc>
        <w:tc>
          <w:tcPr>
            <w:tcW w:type="dxa" w:w="1824"/>
            <w:shd w:val="clear" w:color="auto" w:fill="FFFFFF"/>
          </w:tcPr>
          <w:p>
            <w:r>
              <w:rPr>
                <w:rFonts w:ascii="Times New Roman" w:hAnsi="Times New Roman"/>
                <w:sz w:val="18"/>
              </w:rPr>
              <w:t>0.4000</w:t>
            </w:r>
          </w:p>
        </w:tc>
        <w:tc>
          <w:tcPr>
            <w:tcW w:type="dxa" w:w="1824"/>
            <w:shd w:val="clear" w:color="auto" w:fill="FFFFFF"/>
          </w:tcPr>
          <w:p>
            <w:r>
              <w:rPr>
                <w:rFonts w:ascii="Times New Roman" w:hAnsi="Times New Roman"/>
                <w:sz w:val="18"/>
              </w:rPr>
              <w:t>CCF regulatorio estándar; documentado para extensión del alcance</w:t>
            </w:r>
          </w:p>
        </w:tc>
      </w:tr>
      <w:tr>
        <w:tc>
          <w:tcPr>
            <w:tcW w:type="dxa" w:w="1824"/>
            <w:shd w:val="clear" w:color="auto" w:fill="E8F0FE"/>
          </w:tcPr>
          <w:p>
            <w:r>
              <w:rPr>
                <w:rFonts w:ascii="Times New Roman" w:hAnsi="Times New Roman"/>
                <w:sz w:val="18"/>
              </w:rPr>
              <w:t>Garantía financiera / sustituto directo del crédito</w:t>
            </w:r>
          </w:p>
        </w:tc>
        <w:tc>
          <w:tcPr>
            <w:tcW w:type="dxa" w:w="1824"/>
            <w:shd w:val="clear" w:color="auto" w:fill="E8F0FE"/>
          </w:tcPr>
          <w:p>
            <w:r>
              <w:rPr>
                <w:rFonts w:ascii="Times New Roman" w:hAnsi="Times New Roman"/>
                <w:sz w:val="18"/>
              </w:rPr>
              <w:t>No</w:t>
            </w:r>
          </w:p>
        </w:tc>
        <w:tc>
          <w:tcPr>
            <w:tcW w:type="dxa" w:w="1824"/>
            <w:shd w:val="clear" w:color="auto" w:fill="E8F0FE"/>
          </w:tcPr>
          <w:p>
            <w:r>
              <w:rPr>
                <w:rFonts w:ascii="Times New Roman" w:hAnsi="Times New Roman"/>
                <w:sz w:val="18"/>
              </w:rPr>
              <w:t>Sí</w:t>
            </w:r>
          </w:p>
        </w:tc>
        <w:tc>
          <w:tcPr>
            <w:tcW w:type="dxa" w:w="1824"/>
            <w:shd w:val="clear" w:color="auto" w:fill="E8F0FE"/>
          </w:tcPr>
          <w:p>
            <w:r>
              <w:rPr>
                <w:rFonts w:ascii="Times New Roman" w:hAnsi="Times New Roman"/>
                <w:sz w:val="18"/>
              </w:rPr>
              <w:t>1.0000</w:t>
            </w:r>
          </w:p>
        </w:tc>
        <w:tc>
          <w:tcPr>
            <w:tcW w:type="dxa" w:w="1824"/>
            <w:shd w:val="clear" w:color="auto" w:fill="E8F0FE"/>
          </w:tcPr>
          <w:p>
            <w:r>
              <w:rPr>
                <w:rFonts w:ascii="Times New Roman" w:hAnsi="Times New Roman"/>
                <w:sz w:val="18"/>
              </w:rPr>
              <w:t>CCF regulatorio estándar; documentado para extensión del alcance</w:t>
            </w:r>
          </w:p>
        </w:tc>
      </w:tr>
    </w:tbl>
    <w:p/>
    <w:p>
      <w:pPr>
        <w:spacing w:before="0" w:after="120" w:line="360" w:lineRule="exact"/>
        <w:jc w:val="both"/>
      </w:pPr>
      <w:r>
        <w:rPr>
          <w:rFonts w:ascii="Times New Roman" w:hAnsi="Times New Roman"/>
          <w:b w:val="0"/>
          <w:i w:val="0"/>
          <w:sz w:val="24"/>
        </w:rPr>
        <w:t>Riesgo cambiario (Control 8.6): la totalidad de la cartera Freddie Mac está denominada y liquidada en USD. La cartera es monomoneda, por lo que no existe descalce cambiario ni necesidad de una política de conversión (tipo de cambio spot/forward) para el cálculo del ECL.</w:t>
      </w:r>
    </w:p>
    <w:p>
      <w:pPr>
        <w:pStyle w:val="Heading2"/>
        <w:jc w:val="left"/>
      </w:pPr>
      <w:r>
        <w:rPr>
          <w:rFonts w:ascii="Times New Roman" w:hAnsi="Times New Roman"/>
          <w:b/>
          <w:color w:val="000000"/>
          <w:sz w:val="26"/>
        </w:rPr>
        <w:t>13.5 Formalización Cuantitativa del SICR</w:t>
      </w:r>
    </w:p>
    <w:p>
      <w:pPr>
        <w:spacing w:before="0" w:after="120" w:line="360" w:lineRule="exact"/>
        <w:jc w:val="both"/>
      </w:pPr>
      <w:r>
        <w:rPr>
          <w:rFonts w:ascii="Times New Roman" w:hAnsi="Times New Roman"/>
          <w:b w:val="0"/>
          <w:i w:val="0"/>
          <w:sz w:val="24"/>
        </w:rPr>
        <w:t>IFRS 9 párr. 5.5.9 establece que el criterio primario para determinar un incremento significativo del riesgo de crédito (SICR) es la variación de la Lifetime PD entre el reconocimiento inicial y la fecha de reporte, evaluada sobre el mismo horizonte residual. El párr. 5.5.11 califica los 30 días de mora como una presunción refutable, es decir, un backstop prudencial y no el indicador principal (EBA GL/2017/16 §5.5, párrs. 135-138).</w:t>
      </w:r>
    </w:p>
    <w:p>
      <w:pPr>
        <w:spacing w:before="80" w:after="80"/>
        <w:ind w:left="567"/>
        <w:shd w:val="clear" w:color="auto" w:fill="F2F2F2"/>
      </w:pPr>
      <w:r>
        <w:rPr>
          <w:rFonts w:ascii="Courier New" w:hAnsi="Courier New"/>
          <w:sz w:val="18"/>
        </w:rPr>
        <w:t>PD_lifetime = 1 - (1 - PD_12m)^(T_residual / 12)          (extrapolación hazard constante)</w:t>
        <w:br/>
        <w:br/>
        <w:t>SICR  si  PD_lifetime_t / PD_lifetime_orig &gt;= k                    (criterio relativo, primario)</w:t>
        <w:br/>
        <w:t xml:space="preserve">      o   PD_lifetime_t - PD_lifetime_orig &gt;= delta               (criterio absoluto)</w:t>
        <w:br/>
        <w:t xml:space="preserve">      o   DPD &gt;= 30                                          (backstop 5.5.11)</w:t>
      </w:r>
    </w:p>
    <w:p>
      <w:pPr>
        <w:jc w:val="center"/>
      </w:pPr>
      <w:r>
        <w:rPr>
          <w:rFonts w:ascii="Times New Roman" w:hAnsi="Times New Roman"/>
          <w:b w:val="0"/>
          <w:i/>
          <w:sz w:val="20"/>
        </w:rPr>
        <w:t>Tabla 13. Parámetros del criterio de SICR</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rFonts w:ascii="Times New Roman" w:hAnsi="Times New Roman"/>
                <w:b/>
                <w:color w:val="FFFFFF"/>
                <w:sz w:val="18"/>
              </w:rPr>
              <w:t>parametro</w:t>
            </w:r>
          </w:p>
        </w:tc>
        <w:tc>
          <w:tcPr>
            <w:tcW w:type="dxa" w:w="3041"/>
            <w:shd w:val="clear" w:color="auto" w:fill="1F4E79"/>
          </w:tcPr>
          <w:p>
            <w:r>
              <w:rPr>
                <w:rFonts w:ascii="Times New Roman" w:hAnsi="Times New Roman"/>
                <w:b/>
                <w:color w:val="FFFFFF"/>
                <w:sz w:val="18"/>
              </w:rPr>
              <w:t>valor</w:t>
            </w:r>
          </w:p>
        </w:tc>
        <w:tc>
          <w:tcPr>
            <w:tcW w:type="dxa" w:w="3041"/>
            <w:shd w:val="clear" w:color="auto" w:fill="1F4E79"/>
          </w:tcPr>
          <w:p>
            <w:r>
              <w:rPr>
                <w:rFonts w:ascii="Times New Roman" w:hAnsi="Times New Roman"/>
                <w:b/>
                <w:color w:val="FFFFFF"/>
                <w:sz w:val="18"/>
              </w:rPr>
              <w:t>referencia</w:t>
            </w:r>
          </w:p>
        </w:tc>
      </w:tr>
      <w:tr>
        <w:tc>
          <w:tcPr>
            <w:tcW w:type="dxa" w:w="3041"/>
            <w:shd w:val="clear" w:color="auto" w:fill="FFFFFF"/>
          </w:tcPr>
          <w:p>
            <w:r>
              <w:rPr>
                <w:rFonts w:ascii="Times New Roman" w:hAnsi="Times New Roman"/>
                <w:sz w:val="18"/>
              </w:rPr>
              <w:t>Criterio primario</w:t>
            </w:r>
          </w:p>
        </w:tc>
        <w:tc>
          <w:tcPr>
            <w:tcW w:type="dxa" w:w="3041"/>
            <w:shd w:val="clear" w:color="auto" w:fill="FFFFFF"/>
          </w:tcPr>
          <w:p>
            <w:r>
              <w:rPr>
                <w:rFonts w:ascii="Times New Roman" w:hAnsi="Times New Roman"/>
                <w:sz w:val="18"/>
              </w:rPr>
              <w:t>PD_lifetime_t / PD_lifetime_orig ≥ k (mismo horizonte residual)</w:t>
            </w:r>
          </w:p>
        </w:tc>
        <w:tc>
          <w:tcPr>
            <w:tcW w:type="dxa" w:w="3041"/>
            <w:shd w:val="clear" w:color="auto" w:fill="FFFFFF"/>
          </w:tcPr>
          <w:p>
            <w:r>
              <w:rPr>
                <w:rFonts w:ascii="Times New Roman" w:hAnsi="Times New Roman"/>
                <w:sz w:val="18"/>
              </w:rPr>
              <w:t>IFRS 9 5.5.9</w:t>
            </w:r>
          </w:p>
        </w:tc>
      </w:tr>
      <w:tr>
        <w:tc>
          <w:tcPr>
            <w:tcW w:type="dxa" w:w="3041"/>
            <w:shd w:val="clear" w:color="auto" w:fill="E8F0FE"/>
          </w:tcPr>
          <w:p>
            <w:r>
              <w:rPr>
                <w:rFonts w:ascii="Times New Roman" w:hAnsi="Times New Roman"/>
                <w:sz w:val="18"/>
              </w:rPr>
              <w:t>Umbral relativo k</w:t>
            </w:r>
          </w:p>
        </w:tc>
        <w:tc>
          <w:tcPr>
            <w:tcW w:type="dxa" w:w="3041"/>
            <w:shd w:val="clear" w:color="auto" w:fill="E8F0FE"/>
          </w:tcPr>
          <w:p>
            <w:r>
              <w:rPr>
                <w:rFonts w:ascii="Times New Roman" w:hAnsi="Times New Roman"/>
                <w:sz w:val="18"/>
              </w:rPr>
              <w:t>2.5</w:t>
            </w:r>
          </w:p>
        </w:tc>
        <w:tc>
          <w:tcPr>
            <w:tcW w:type="dxa" w:w="3041"/>
            <w:shd w:val="clear" w:color="auto" w:fill="E8F0FE"/>
          </w:tcPr>
          <w:p>
            <w:r>
              <w:rPr>
                <w:rFonts w:ascii="Times New Roman" w:hAnsi="Times New Roman"/>
                <w:sz w:val="18"/>
              </w:rPr>
              <w:t>Calibrado empíricamente (ver sicr_umbral_calibracion.csv)</w:t>
            </w:r>
          </w:p>
        </w:tc>
      </w:tr>
      <w:tr>
        <w:tc>
          <w:tcPr>
            <w:tcW w:type="dxa" w:w="3041"/>
            <w:shd w:val="clear" w:color="auto" w:fill="FFFFFF"/>
          </w:tcPr>
          <w:p>
            <w:r>
              <w:rPr>
                <w:rFonts w:ascii="Times New Roman" w:hAnsi="Times New Roman"/>
                <w:sz w:val="18"/>
              </w:rPr>
              <w:t>Umbral absoluto Δ</w:t>
            </w:r>
          </w:p>
        </w:tc>
        <w:tc>
          <w:tcPr>
            <w:tcW w:type="dxa" w:w="3041"/>
            <w:shd w:val="clear" w:color="auto" w:fill="FFFFFF"/>
          </w:tcPr>
          <w:p>
            <w:r>
              <w:rPr>
                <w:rFonts w:ascii="Times New Roman" w:hAnsi="Times New Roman"/>
                <w:sz w:val="18"/>
              </w:rPr>
              <w:t>0.05</w:t>
            </w:r>
          </w:p>
        </w:tc>
        <w:tc>
          <w:tcPr>
            <w:tcW w:type="dxa" w:w="3041"/>
            <w:shd w:val="clear" w:color="auto" w:fill="FFFFFF"/>
          </w:tcPr>
          <w:p>
            <w:r>
              <w:rPr>
                <w:rFonts w:ascii="Times New Roman" w:hAnsi="Times New Roman"/>
                <w:sz w:val="18"/>
              </w:rPr>
              <w:t>Complemento para PD de originación muy bajas</w:t>
            </w:r>
          </w:p>
        </w:tc>
      </w:tr>
      <w:tr>
        <w:tc>
          <w:tcPr>
            <w:tcW w:type="dxa" w:w="3041"/>
            <w:shd w:val="clear" w:color="auto" w:fill="E8F0FE"/>
          </w:tcPr>
          <w:p>
            <w:r>
              <w:rPr>
                <w:rFonts w:ascii="Times New Roman" w:hAnsi="Times New Roman"/>
                <w:sz w:val="18"/>
              </w:rPr>
              <w:t>Backstop</w:t>
            </w:r>
          </w:p>
        </w:tc>
        <w:tc>
          <w:tcPr>
            <w:tcW w:type="dxa" w:w="3041"/>
            <w:shd w:val="clear" w:color="auto" w:fill="E8F0FE"/>
          </w:tcPr>
          <w:p>
            <w:r>
              <w:rPr>
                <w:rFonts w:ascii="Times New Roman" w:hAnsi="Times New Roman"/>
                <w:sz w:val="18"/>
              </w:rPr>
              <w:t>30 DPD</w:t>
            </w:r>
          </w:p>
        </w:tc>
        <w:tc>
          <w:tcPr>
            <w:tcW w:type="dxa" w:w="3041"/>
            <w:shd w:val="clear" w:color="auto" w:fill="E8F0FE"/>
          </w:tcPr>
          <w:p>
            <w:r>
              <w:rPr>
                <w:rFonts w:ascii="Times New Roman" w:hAnsi="Times New Roman"/>
                <w:sz w:val="18"/>
              </w:rPr>
              <w:t>IFRS 9 5.5.11 – presunción refutable, uso estrictamente prudencial</w:t>
            </w:r>
          </w:p>
        </w:tc>
      </w:tr>
      <w:tr>
        <w:tc>
          <w:tcPr>
            <w:tcW w:type="dxa" w:w="3041"/>
            <w:shd w:val="clear" w:color="auto" w:fill="FFFFFF"/>
          </w:tcPr>
          <w:p>
            <w:r>
              <w:rPr>
                <w:rFonts w:ascii="Times New Roman" w:hAnsi="Times New Roman"/>
                <w:sz w:val="18"/>
              </w:rPr>
              <w:t>Conversión a lifetime</w:t>
            </w:r>
          </w:p>
        </w:tc>
        <w:tc>
          <w:tcPr>
            <w:tcW w:type="dxa" w:w="3041"/>
            <w:shd w:val="clear" w:color="auto" w:fill="FFFFFF"/>
          </w:tcPr>
          <w:p>
            <w:r>
              <w:rPr>
                <w:rFonts w:ascii="Times New Roman" w:hAnsi="Times New Roman"/>
                <w:sz w:val="18"/>
              </w:rPr>
              <w:t>1 − (1 − PD_12m)^(T_res/12)  (hazard constante)</w:t>
            </w:r>
          </w:p>
        </w:tc>
        <w:tc>
          <w:tcPr>
            <w:tcW w:type="dxa" w:w="3041"/>
            <w:shd w:val="clear" w:color="auto" w:fill="FFFFFF"/>
          </w:tcPr>
          <w:p>
            <w:r>
              <w:rPr>
                <w:rFonts w:ascii="Times New Roman" w:hAnsi="Times New Roman"/>
                <w:sz w:val="18"/>
              </w:rPr>
              <w:t>Horizonte homogéneo para ambas PD</w:t>
            </w:r>
          </w:p>
        </w:tc>
      </w:tr>
      <w:tr>
        <w:tc>
          <w:tcPr>
            <w:tcW w:type="dxa" w:w="3041"/>
            <w:shd w:val="clear" w:color="auto" w:fill="E8F0FE"/>
          </w:tcPr>
          <w:p>
            <w:r>
              <w:rPr>
                <w:rFonts w:ascii="Times New Roman" w:hAnsi="Times New Roman"/>
                <w:sz w:val="18"/>
              </w:rPr>
              <w:t>% cartera en Stage 2 (SICR PD)</w:t>
            </w:r>
          </w:p>
        </w:tc>
        <w:tc>
          <w:tcPr>
            <w:tcW w:type="dxa" w:w="3041"/>
            <w:shd w:val="clear" w:color="auto" w:fill="E8F0FE"/>
          </w:tcPr>
          <w:p>
            <w:r>
              <w:rPr>
                <w:rFonts w:ascii="Times New Roman" w:hAnsi="Times New Roman"/>
                <w:sz w:val="18"/>
              </w:rPr>
              <w:t>0.0846</w:t>
            </w:r>
          </w:p>
        </w:tc>
        <w:tc>
          <w:tcPr>
            <w:tcW w:type="dxa" w:w="3041"/>
            <w:shd w:val="clear" w:color="auto" w:fill="E8F0FE"/>
          </w:tcPr>
          <w:p>
            <w:r>
              <w:rPr>
                <w:rFonts w:ascii="Times New Roman" w:hAnsi="Times New Roman"/>
                <w:sz w:val="18"/>
              </w:rPr>
              <w:t>Resultado</w:t>
            </w:r>
          </w:p>
        </w:tc>
      </w:tr>
      <w:tr>
        <w:tc>
          <w:tcPr>
            <w:tcW w:type="dxa" w:w="3041"/>
            <w:shd w:val="clear" w:color="auto" w:fill="FFFFFF"/>
          </w:tcPr>
          <w:p>
            <w:r>
              <w:rPr>
                <w:rFonts w:ascii="Times New Roman" w:hAnsi="Times New Roman"/>
                <w:sz w:val="18"/>
              </w:rPr>
              <w:t>% del Stage 2 activado solo por el backstop</w:t>
            </w:r>
          </w:p>
        </w:tc>
        <w:tc>
          <w:tcPr>
            <w:tcW w:type="dxa" w:w="3041"/>
            <w:shd w:val="clear" w:color="auto" w:fill="FFFFFF"/>
          </w:tcPr>
          <w:p>
            <w:r>
              <w:rPr>
                <w:rFonts w:ascii="Times New Roman" w:hAnsi="Times New Roman"/>
                <w:sz w:val="18"/>
              </w:rPr>
              <w:t>0.001</w:t>
            </w:r>
          </w:p>
        </w:tc>
        <w:tc>
          <w:tcPr>
            <w:tcW w:type="dxa" w:w="3041"/>
            <w:shd w:val="clear" w:color="auto" w:fill="FFFFFF"/>
          </w:tcPr>
          <w:p>
            <w:r>
              <w:rPr>
                <w:rFonts w:ascii="Times New Roman" w:hAnsi="Times New Roman"/>
                <w:sz w:val="18"/>
              </w:rPr>
              <w:t>EBA GL/2017/16 §5.5 – debe ser minoritario</w:t>
            </w:r>
          </w:p>
        </w:tc>
      </w:tr>
    </w:tbl>
    <w:p/>
    <w:p>
      <w:pPr>
        <w:spacing w:before="0" w:after="120" w:line="360" w:lineRule="exact"/>
        <w:jc w:val="both"/>
      </w:pPr>
      <w:r>
        <w:rPr>
          <w:rFonts w:ascii="Times New Roman" w:hAnsi="Times New Roman"/>
          <w:b w:val="0"/>
          <w:i w:val="0"/>
          <w:sz w:val="24"/>
        </w:rPr>
        <w:t>Los umbrales k = 2.5 y delta = 5% se calibraron empíricamente sobre una grilla cruzada de sensibilidad (ver tabla siguiente), seleccionando la combinación que evita que el criterio absoluto sature la clasificación —anulando el aporte del criterio relativo, que es el primario según IFRS 9— y que produce un Stage 2 con lift de tasa de default frente al Stage 1 económicamente significativo, cubriendo una proporción relevante de los defaults futuros de la cartera.</w:t>
      </w:r>
    </w:p>
    <w:p>
      <w:pPr>
        <w:jc w:val="center"/>
      </w:pPr>
      <w:r>
        <w:rPr>
          <w:rFonts w:ascii="Times New Roman" w:hAnsi="Times New Roman"/>
          <w:b w:val="0"/>
          <w:i/>
          <w:sz w:val="20"/>
        </w:rPr>
        <w:t>Tabla 14. Grilla de calibración del SICR: sensibilidad conjunta de k y delta</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4E79"/>
          </w:tcPr>
          <w:p>
            <w:r>
              <w:rPr>
                <w:rFonts w:ascii="Times New Roman" w:hAnsi="Times New Roman"/>
                <w:b/>
                <w:color w:val="FFFFFF"/>
                <w:sz w:val="18"/>
              </w:rPr>
              <w:t>k_relativo</w:t>
            </w:r>
          </w:p>
        </w:tc>
        <w:tc>
          <w:tcPr>
            <w:tcW w:type="dxa" w:w="1014"/>
            <w:shd w:val="clear" w:color="auto" w:fill="1F4E79"/>
          </w:tcPr>
          <w:p>
            <w:r>
              <w:rPr>
                <w:rFonts w:ascii="Times New Roman" w:hAnsi="Times New Roman"/>
                <w:b/>
                <w:color w:val="FFFFFF"/>
                <w:sz w:val="18"/>
              </w:rPr>
              <w:t>delta_absoluto</w:t>
            </w:r>
          </w:p>
        </w:tc>
        <w:tc>
          <w:tcPr>
            <w:tcW w:type="dxa" w:w="1014"/>
            <w:shd w:val="clear" w:color="auto" w:fill="1F4E79"/>
          </w:tcPr>
          <w:p>
            <w:r>
              <w:rPr>
                <w:rFonts w:ascii="Times New Roman" w:hAnsi="Times New Roman"/>
                <w:b/>
                <w:color w:val="FFFFFF"/>
                <w:sz w:val="18"/>
              </w:rPr>
              <w:t>pct_cartera_stage2</w:t>
            </w:r>
          </w:p>
        </w:tc>
        <w:tc>
          <w:tcPr>
            <w:tcW w:type="dxa" w:w="1014"/>
            <w:shd w:val="clear" w:color="auto" w:fill="1F4E79"/>
          </w:tcPr>
          <w:p>
            <w:r>
              <w:rPr>
                <w:rFonts w:ascii="Times New Roman" w:hAnsi="Times New Roman"/>
                <w:b/>
                <w:color w:val="FFFFFF"/>
                <w:sz w:val="18"/>
              </w:rPr>
              <w:t>tasa_default_stage2</w:t>
            </w:r>
          </w:p>
        </w:tc>
        <w:tc>
          <w:tcPr>
            <w:tcW w:type="dxa" w:w="1014"/>
            <w:shd w:val="clear" w:color="auto" w:fill="1F4E79"/>
          </w:tcPr>
          <w:p>
            <w:r>
              <w:rPr>
                <w:rFonts w:ascii="Times New Roman" w:hAnsi="Times New Roman"/>
                <w:b/>
                <w:color w:val="FFFFFF"/>
                <w:sz w:val="18"/>
              </w:rPr>
              <w:t>tasa_default_stage1</w:t>
            </w:r>
          </w:p>
        </w:tc>
        <w:tc>
          <w:tcPr>
            <w:tcW w:type="dxa" w:w="1014"/>
            <w:shd w:val="clear" w:color="auto" w:fill="1F4E79"/>
          </w:tcPr>
          <w:p>
            <w:r>
              <w:rPr>
                <w:rFonts w:ascii="Times New Roman" w:hAnsi="Times New Roman"/>
                <w:b/>
                <w:color w:val="FFFFFF"/>
                <w:sz w:val="18"/>
              </w:rPr>
              <w:t>cobertura_defaults</w:t>
            </w:r>
          </w:p>
        </w:tc>
        <w:tc>
          <w:tcPr>
            <w:tcW w:type="dxa" w:w="1014"/>
            <w:shd w:val="clear" w:color="auto" w:fill="1F4E79"/>
          </w:tcPr>
          <w:p>
            <w:r>
              <w:rPr>
                <w:rFonts w:ascii="Times New Roman" w:hAnsi="Times New Roman"/>
                <w:b/>
                <w:color w:val="FFFFFF"/>
                <w:sz w:val="18"/>
              </w:rPr>
              <w:t>pct_solo_por_backstop</w:t>
            </w:r>
          </w:p>
        </w:tc>
        <w:tc>
          <w:tcPr>
            <w:tcW w:type="dxa" w:w="1014"/>
            <w:shd w:val="clear" w:color="auto" w:fill="1F4E79"/>
          </w:tcPr>
          <w:p>
            <w:r>
              <w:rPr>
                <w:rFonts w:ascii="Times New Roman" w:hAnsi="Times New Roman"/>
                <w:b/>
                <w:color w:val="FFFFFF"/>
                <w:sz w:val="18"/>
              </w:rPr>
              <w:t>rel_share</w:t>
            </w:r>
          </w:p>
        </w:tc>
        <w:tc>
          <w:tcPr>
            <w:tcW w:type="dxa" w:w="1014"/>
            <w:shd w:val="clear" w:color="auto" w:fill="1F4E79"/>
          </w:tcPr>
          <w:p>
            <w:r>
              <w:rPr>
                <w:rFonts w:ascii="Times New Roman" w:hAnsi="Times New Roman"/>
                <w:b/>
                <w:color w:val="FFFFFF"/>
                <w:sz w:val="18"/>
              </w:rPr>
              <w:t>lift_stage2_vs_stage1</w:t>
            </w:r>
          </w:p>
        </w:tc>
      </w:tr>
      <w:tr>
        <w:tc>
          <w:tcPr>
            <w:tcW w:type="dxa" w:w="1014"/>
            <w:shd w:val="clear" w:color="auto" w:fill="FFFFFF"/>
          </w:tcPr>
          <w:p>
            <w:r>
              <w:rPr>
                <w:rFonts w:ascii="Times New Roman" w:hAnsi="Times New Roman"/>
                <w:sz w:val="18"/>
              </w:rPr>
              <w:t>1.5000</w:t>
            </w:r>
          </w:p>
        </w:tc>
        <w:tc>
          <w:tcPr>
            <w:tcW w:type="dxa" w:w="1014"/>
            <w:shd w:val="clear" w:color="auto" w:fill="FFFFFF"/>
          </w:tcPr>
          <w:p>
            <w:r>
              <w:rPr>
                <w:rFonts w:ascii="Times New Roman" w:hAnsi="Times New Roman"/>
                <w:sz w:val="18"/>
              </w:rPr>
              <w:t>0.0100</w:t>
            </w:r>
          </w:p>
        </w:tc>
        <w:tc>
          <w:tcPr>
            <w:tcW w:type="dxa" w:w="1014"/>
            <w:shd w:val="clear" w:color="auto" w:fill="FFFFFF"/>
          </w:tcPr>
          <w:p>
            <w:r>
              <w:rPr>
                <w:rFonts w:ascii="Times New Roman" w:hAnsi="Times New Roman"/>
                <w:sz w:val="18"/>
              </w:rPr>
              <w:t>0.1648</w:t>
            </w:r>
          </w:p>
        </w:tc>
        <w:tc>
          <w:tcPr>
            <w:tcW w:type="dxa" w:w="1014"/>
            <w:shd w:val="clear" w:color="auto" w:fill="FFFFFF"/>
          </w:tcPr>
          <w:p>
            <w:r>
              <w:rPr>
                <w:rFonts w:ascii="Times New Roman" w:hAnsi="Times New Roman"/>
                <w:sz w:val="18"/>
              </w:rPr>
              <w:t>0.0355</w:t>
            </w:r>
          </w:p>
        </w:tc>
        <w:tc>
          <w:tcPr>
            <w:tcW w:type="dxa" w:w="1014"/>
            <w:shd w:val="clear" w:color="auto" w:fill="FFFFFF"/>
          </w:tcPr>
          <w:p>
            <w:r>
              <w:rPr>
                <w:rFonts w:ascii="Times New Roman" w:hAnsi="Times New Roman"/>
                <w:sz w:val="18"/>
              </w:rPr>
              <w:t>0.0076</w:t>
            </w:r>
          </w:p>
        </w:tc>
        <w:tc>
          <w:tcPr>
            <w:tcW w:type="dxa" w:w="1014"/>
            <w:shd w:val="clear" w:color="auto" w:fill="FFFFFF"/>
          </w:tcPr>
          <w:p>
            <w:r>
              <w:rPr>
                <w:rFonts w:ascii="Times New Roman" w:hAnsi="Times New Roman"/>
                <w:sz w:val="18"/>
              </w:rPr>
              <w:t>0.4806</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0.0481</w:t>
            </w:r>
          </w:p>
        </w:tc>
        <w:tc>
          <w:tcPr>
            <w:tcW w:type="dxa" w:w="1014"/>
            <w:shd w:val="clear" w:color="auto" w:fill="FFFFFF"/>
          </w:tcPr>
          <w:p>
            <w:r>
              <w:rPr>
                <w:rFonts w:ascii="Times New Roman" w:hAnsi="Times New Roman"/>
                <w:sz w:val="18"/>
              </w:rPr>
              <w:t>4.6900</w:t>
            </w:r>
          </w:p>
        </w:tc>
      </w:tr>
      <w:tr>
        <w:tc>
          <w:tcPr>
            <w:tcW w:type="dxa" w:w="1014"/>
            <w:shd w:val="clear" w:color="auto" w:fill="E8F0FE"/>
          </w:tcPr>
          <w:p>
            <w:r>
              <w:rPr>
                <w:rFonts w:ascii="Times New Roman" w:hAnsi="Times New Roman"/>
                <w:sz w:val="18"/>
              </w:rPr>
              <w:t>2.0000</w:t>
            </w:r>
          </w:p>
        </w:tc>
        <w:tc>
          <w:tcPr>
            <w:tcW w:type="dxa" w:w="1014"/>
            <w:shd w:val="clear" w:color="auto" w:fill="E8F0FE"/>
          </w:tcPr>
          <w:p>
            <w:r>
              <w:rPr>
                <w:rFonts w:ascii="Times New Roman" w:hAnsi="Times New Roman"/>
                <w:sz w:val="18"/>
              </w:rPr>
              <w:t>0.0100</w:t>
            </w:r>
          </w:p>
        </w:tc>
        <w:tc>
          <w:tcPr>
            <w:tcW w:type="dxa" w:w="1014"/>
            <w:shd w:val="clear" w:color="auto" w:fill="E8F0FE"/>
          </w:tcPr>
          <w:p>
            <w:r>
              <w:rPr>
                <w:rFonts w:ascii="Times New Roman" w:hAnsi="Times New Roman"/>
                <w:sz w:val="18"/>
              </w:rPr>
              <w:t>0.1576</w:t>
            </w:r>
          </w:p>
        </w:tc>
        <w:tc>
          <w:tcPr>
            <w:tcW w:type="dxa" w:w="1014"/>
            <w:shd w:val="clear" w:color="auto" w:fill="E8F0FE"/>
          </w:tcPr>
          <w:p>
            <w:r>
              <w:rPr>
                <w:rFonts w:ascii="Times New Roman" w:hAnsi="Times New Roman"/>
                <w:sz w:val="18"/>
              </w:rPr>
              <w:t>0.0371</w:t>
            </w:r>
          </w:p>
        </w:tc>
        <w:tc>
          <w:tcPr>
            <w:tcW w:type="dxa" w:w="1014"/>
            <w:shd w:val="clear" w:color="auto" w:fill="E8F0FE"/>
          </w:tcPr>
          <w:p>
            <w:r>
              <w:rPr>
                <w:rFonts w:ascii="Times New Roman" w:hAnsi="Times New Roman"/>
                <w:sz w:val="18"/>
              </w:rPr>
              <w:t>0.0075</w:t>
            </w:r>
          </w:p>
        </w:tc>
        <w:tc>
          <w:tcPr>
            <w:tcW w:type="dxa" w:w="1014"/>
            <w:shd w:val="clear" w:color="auto" w:fill="E8F0FE"/>
          </w:tcPr>
          <w:p>
            <w:r>
              <w:rPr>
                <w:rFonts w:ascii="Times New Roman" w:hAnsi="Times New Roman"/>
                <w:sz w:val="18"/>
              </w:rPr>
              <w:t>0.4794</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0.0041</w:t>
            </w:r>
          </w:p>
        </w:tc>
        <w:tc>
          <w:tcPr>
            <w:tcW w:type="dxa" w:w="1014"/>
            <w:shd w:val="clear" w:color="auto" w:fill="E8F0FE"/>
          </w:tcPr>
          <w:p>
            <w:r>
              <w:rPr>
                <w:rFonts w:ascii="Times New Roman" w:hAnsi="Times New Roman"/>
                <w:sz w:val="18"/>
              </w:rPr>
              <w:t>4.9200</w:t>
            </w:r>
          </w:p>
        </w:tc>
      </w:tr>
      <w:tr>
        <w:tc>
          <w:tcPr>
            <w:tcW w:type="dxa" w:w="1014"/>
            <w:shd w:val="clear" w:color="auto" w:fill="FFFFFF"/>
          </w:tcPr>
          <w:p>
            <w:r>
              <w:rPr>
                <w:rFonts w:ascii="Times New Roman" w:hAnsi="Times New Roman"/>
                <w:sz w:val="18"/>
              </w:rPr>
              <w:t>2.5000</w:t>
            </w:r>
          </w:p>
        </w:tc>
        <w:tc>
          <w:tcPr>
            <w:tcW w:type="dxa" w:w="1014"/>
            <w:shd w:val="clear" w:color="auto" w:fill="FFFFFF"/>
          </w:tcPr>
          <w:p>
            <w:r>
              <w:rPr>
                <w:rFonts w:ascii="Times New Roman" w:hAnsi="Times New Roman"/>
                <w:sz w:val="18"/>
              </w:rPr>
              <w:t>0.0100</w:t>
            </w:r>
          </w:p>
        </w:tc>
        <w:tc>
          <w:tcPr>
            <w:tcW w:type="dxa" w:w="1014"/>
            <w:shd w:val="clear" w:color="auto" w:fill="FFFFFF"/>
          </w:tcPr>
          <w:p>
            <w:r>
              <w:rPr>
                <w:rFonts w:ascii="Times New Roman" w:hAnsi="Times New Roman"/>
                <w:sz w:val="18"/>
              </w:rPr>
              <w:t>0.1575</w:t>
            </w:r>
          </w:p>
        </w:tc>
        <w:tc>
          <w:tcPr>
            <w:tcW w:type="dxa" w:w="1014"/>
            <w:shd w:val="clear" w:color="auto" w:fill="FFFFFF"/>
          </w:tcPr>
          <w:p>
            <w:r>
              <w:rPr>
                <w:rFonts w:ascii="Times New Roman" w:hAnsi="Times New Roman"/>
                <w:sz w:val="18"/>
              </w:rPr>
              <w:t>0.0371</w:t>
            </w:r>
          </w:p>
        </w:tc>
        <w:tc>
          <w:tcPr>
            <w:tcW w:type="dxa" w:w="1014"/>
            <w:shd w:val="clear" w:color="auto" w:fill="FFFFFF"/>
          </w:tcPr>
          <w:p>
            <w:r>
              <w:rPr>
                <w:rFonts w:ascii="Times New Roman" w:hAnsi="Times New Roman"/>
                <w:sz w:val="18"/>
              </w:rPr>
              <w:t>0.0075</w:t>
            </w:r>
          </w:p>
        </w:tc>
        <w:tc>
          <w:tcPr>
            <w:tcW w:type="dxa" w:w="1014"/>
            <w:shd w:val="clear" w:color="auto" w:fill="FFFFFF"/>
          </w:tcPr>
          <w:p>
            <w:r>
              <w:rPr>
                <w:rFonts w:ascii="Times New Roman" w:hAnsi="Times New Roman"/>
                <w:sz w:val="18"/>
              </w:rPr>
              <w:t>0.4794</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0.0035</w:t>
            </w:r>
          </w:p>
        </w:tc>
        <w:tc>
          <w:tcPr>
            <w:tcW w:type="dxa" w:w="1014"/>
            <w:shd w:val="clear" w:color="auto" w:fill="FFFFFF"/>
          </w:tcPr>
          <w:p>
            <w:r>
              <w:rPr>
                <w:rFonts w:ascii="Times New Roman" w:hAnsi="Times New Roman"/>
                <w:sz w:val="18"/>
              </w:rPr>
              <w:t>4.9300</w:t>
            </w:r>
          </w:p>
        </w:tc>
      </w:tr>
      <w:tr>
        <w:tc>
          <w:tcPr>
            <w:tcW w:type="dxa" w:w="1014"/>
            <w:shd w:val="clear" w:color="auto" w:fill="E8F0FE"/>
          </w:tcPr>
          <w:p>
            <w:r>
              <w:rPr>
                <w:rFonts w:ascii="Times New Roman" w:hAnsi="Times New Roman"/>
                <w:sz w:val="18"/>
              </w:rPr>
              <w:t>3.0000</w:t>
            </w:r>
          </w:p>
        </w:tc>
        <w:tc>
          <w:tcPr>
            <w:tcW w:type="dxa" w:w="1014"/>
            <w:shd w:val="clear" w:color="auto" w:fill="E8F0FE"/>
          </w:tcPr>
          <w:p>
            <w:r>
              <w:rPr>
                <w:rFonts w:ascii="Times New Roman" w:hAnsi="Times New Roman"/>
                <w:sz w:val="18"/>
              </w:rPr>
              <w:t>0.0100</w:t>
            </w:r>
          </w:p>
        </w:tc>
        <w:tc>
          <w:tcPr>
            <w:tcW w:type="dxa" w:w="1014"/>
            <w:shd w:val="clear" w:color="auto" w:fill="E8F0FE"/>
          </w:tcPr>
          <w:p>
            <w:r>
              <w:rPr>
                <w:rFonts w:ascii="Times New Roman" w:hAnsi="Times New Roman"/>
                <w:sz w:val="18"/>
              </w:rPr>
              <w:t>0.1569</w:t>
            </w:r>
          </w:p>
        </w:tc>
        <w:tc>
          <w:tcPr>
            <w:tcW w:type="dxa" w:w="1014"/>
            <w:shd w:val="clear" w:color="auto" w:fill="E8F0FE"/>
          </w:tcPr>
          <w:p>
            <w:r>
              <w:rPr>
                <w:rFonts w:ascii="Times New Roman" w:hAnsi="Times New Roman"/>
                <w:sz w:val="18"/>
              </w:rPr>
              <w:t>0.0372</w:t>
            </w:r>
          </w:p>
        </w:tc>
        <w:tc>
          <w:tcPr>
            <w:tcW w:type="dxa" w:w="1014"/>
            <w:shd w:val="clear" w:color="auto" w:fill="E8F0FE"/>
          </w:tcPr>
          <w:p>
            <w:r>
              <w:rPr>
                <w:rFonts w:ascii="Times New Roman" w:hAnsi="Times New Roman"/>
                <w:sz w:val="18"/>
              </w:rPr>
              <w:t>0.0075</w:t>
            </w:r>
          </w:p>
        </w:tc>
        <w:tc>
          <w:tcPr>
            <w:tcW w:type="dxa" w:w="1014"/>
            <w:shd w:val="clear" w:color="auto" w:fill="E8F0FE"/>
          </w:tcPr>
          <w:p>
            <w:r>
              <w:rPr>
                <w:rFonts w:ascii="Times New Roman" w:hAnsi="Times New Roman"/>
                <w:sz w:val="18"/>
              </w:rPr>
              <w:t>0.4794</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0.0001</w:t>
            </w:r>
          </w:p>
        </w:tc>
        <w:tc>
          <w:tcPr>
            <w:tcW w:type="dxa" w:w="1014"/>
            <w:shd w:val="clear" w:color="auto" w:fill="E8F0FE"/>
          </w:tcPr>
          <w:p>
            <w:r>
              <w:rPr>
                <w:rFonts w:ascii="Times New Roman" w:hAnsi="Times New Roman"/>
                <w:sz w:val="18"/>
              </w:rPr>
              <w:t>4.9500</w:t>
            </w:r>
          </w:p>
        </w:tc>
      </w:tr>
      <w:tr>
        <w:tc>
          <w:tcPr>
            <w:tcW w:type="dxa" w:w="1014"/>
            <w:shd w:val="clear" w:color="auto" w:fill="FFFFFF"/>
          </w:tcPr>
          <w:p>
            <w:r>
              <w:rPr>
                <w:rFonts w:ascii="Times New Roman" w:hAnsi="Times New Roman"/>
                <w:sz w:val="18"/>
              </w:rPr>
              <w:t>4.0000</w:t>
            </w:r>
          </w:p>
        </w:tc>
        <w:tc>
          <w:tcPr>
            <w:tcW w:type="dxa" w:w="1014"/>
            <w:shd w:val="clear" w:color="auto" w:fill="FFFFFF"/>
          </w:tcPr>
          <w:p>
            <w:r>
              <w:rPr>
                <w:rFonts w:ascii="Times New Roman" w:hAnsi="Times New Roman"/>
                <w:sz w:val="18"/>
              </w:rPr>
              <w:t>0.0100</w:t>
            </w:r>
          </w:p>
        </w:tc>
        <w:tc>
          <w:tcPr>
            <w:tcW w:type="dxa" w:w="1014"/>
            <w:shd w:val="clear" w:color="auto" w:fill="FFFFFF"/>
          </w:tcPr>
          <w:p>
            <w:r>
              <w:rPr>
                <w:rFonts w:ascii="Times New Roman" w:hAnsi="Times New Roman"/>
                <w:sz w:val="18"/>
              </w:rPr>
              <w:t>0.1569</w:t>
            </w:r>
          </w:p>
        </w:tc>
        <w:tc>
          <w:tcPr>
            <w:tcW w:type="dxa" w:w="1014"/>
            <w:shd w:val="clear" w:color="auto" w:fill="FFFFFF"/>
          </w:tcPr>
          <w:p>
            <w:r>
              <w:rPr>
                <w:rFonts w:ascii="Times New Roman" w:hAnsi="Times New Roman"/>
                <w:sz w:val="18"/>
              </w:rPr>
              <w:t>0.0372</w:t>
            </w:r>
          </w:p>
        </w:tc>
        <w:tc>
          <w:tcPr>
            <w:tcW w:type="dxa" w:w="1014"/>
            <w:shd w:val="clear" w:color="auto" w:fill="FFFFFF"/>
          </w:tcPr>
          <w:p>
            <w:r>
              <w:rPr>
                <w:rFonts w:ascii="Times New Roman" w:hAnsi="Times New Roman"/>
                <w:sz w:val="18"/>
              </w:rPr>
              <w:t>0.0075</w:t>
            </w:r>
          </w:p>
        </w:tc>
        <w:tc>
          <w:tcPr>
            <w:tcW w:type="dxa" w:w="1014"/>
            <w:shd w:val="clear" w:color="auto" w:fill="FFFFFF"/>
          </w:tcPr>
          <w:p>
            <w:r>
              <w:rPr>
                <w:rFonts w:ascii="Times New Roman" w:hAnsi="Times New Roman"/>
                <w:sz w:val="18"/>
              </w:rPr>
              <w:t>0.4794</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4.9500</w:t>
            </w:r>
          </w:p>
        </w:tc>
      </w:tr>
      <w:tr>
        <w:tc>
          <w:tcPr>
            <w:tcW w:type="dxa" w:w="1014"/>
            <w:shd w:val="clear" w:color="auto" w:fill="E8F0FE"/>
          </w:tcPr>
          <w:p>
            <w:r>
              <w:rPr>
                <w:rFonts w:ascii="Times New Roman" w:hAnsi="Times New Roman"/>
                <w:sz w:val="18"/>
              </w:rPr>
              <w:t>5.0000</w:t>
            </w:r>
          </w:p>
        </w:tc>
        <w:tc>
          <w:tcPr>
            <w:tcW w:type="dxa" w:w="1014"/>
            <w:shd w:val="clear" w:color="auto" w:fill="E8F0FE"/>
          </w:tcPr>
          <w:p>
            <w:r>
              <w:rPr>
                <w:rFonts w:ascii="Times New Roman" w:hAnsi="Times New Roman"/>
                <w:sz w:val="18"/>
              </w:rPr>
              <w:t>0.0100</w:t>
            </w:r>
          </w:p>
        </w:tc>
        <w:tc>
          <w:tcPr>
            <w:tcW w:type="dxa" w:w="1014"/>
            <w:shd w:val="clear" w:color="auto" w:fill="E8F0FE"/>
          </w:tcPr>
          <w:p>
            <w:r>
              <w:rPr>
                <w:rFonts w:ascii="Times New Roman" w:hAnsi="Times New Roman"/>
                <w:sz w:val="18"/>
              </w:rPr>
              <w:t>0.1569</w:t>
            </w:r>
          </w:p>
        </w:tc>
        <w:tc>
          <w:tcPr>
            <w:tcW w:type="dxa" w:w="1014"/>
            <w:shd w:val="clear" w:color="auto" w:fill="E8F0FE"/>
          </w:tcPr>
          <w:p>
            <w:r>
              <w:rPr>
                <w:rFonts w:ascii="Times New Roman" w:hAnsi="Times New Roman"/>
                <w:sz w:val="18"/>
              </w:rPr>
              <w:t>0.0372</w:t>
            </w:r>
          </w:p>
        </w:tc>
        <w:tc>
          <w:tcPr>
            <w:tcW w:type="dxa" w:w="1014"/>
            <w:shd w:val="clear" w:color="auto" w:fill="E8F0FE"/>
          </w:tcPr>
          <w:p>
            <w:r>
              <w:rPr>
                <w:rFonts w:ascii="Times New Roman" w:hAnsi="Times New Roman"/>
                <w:sz w:val="18"/>
              </w:rPr>
              <w:t>0.0075</w:t>
            </w:r>
          </w:p>
        </w:tc>
        <w:tc>
          <w:tcPr>
            <w:tcW w:type="dxa" w:w="1014"/>
            <w:shd w:val="clear" w:color="auto" w:fill="E8F0FE"/>
          </w:tcPr>
          <w:p>
            <w:r>
              <w:rPr>
                <w:rFonts w:ascii="Times New Roman" w:hAnsi="Times New Roman"/>
                <w:sz w:val="18"/>
              </w:rPr>
              <w:t>0.4794</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4.9500</w:t>
            </w:r>
          </w:p>
        </w:tc>
      </w:tr>
      <w:tr>
        <w:tc>
          <w:tcPr>
            <w:tcW w:type="dxa" w:w="1014"/>
            <w:shd w:val="clear" w:color="auto" w:fill="FFFFFF"/>
          </w:tcPr>
          <w:p>
            <w:r>
              <w:rPr>
                <w:rFonts w:ascii="Times New Roman" w:hAnsi="Times New Roman"/>
                <w:sz w:val="18"/>
              </w:rPr>
              <w:t>1.5000</w:t>
            </w:r>
          </w:p>
        </w:tc>
        <w:tc>
          <w:tcPr>
            <w:tcW w:type="dxa" w:w="1014"/>
            <w:shd w:val="clear" w:color="auto" w:fill="FFFFFF"/>
          </w:tcPr>
          <w:p>
            <w:r>
              <w:rPr>
                <w:rFonts w:ascii="Times New Roman" w:hAnsi="Times New Roman"/>
                <w:sz w:val="18"/>
              </w:rPr>
              <w:t>0.0200</w:t>
            </w:r>
          </w:p>
        </w:tc>
        <w:tc>
          <w:tcPr>
            <w:tcW w:type="dxa" w:w="1014"/>
            <w:shd w:val="clear" w:color="auto" w:fill="FFFFFF"/>
          </w:tcPr>
          <w:p>
            <w:r>
              <w:rPr>
                <w:rFonts w:ascii="Times New Roman" w:hAnsi="Times New Roman"/>
                <w:sz w:val="18"/>
              </w:rPr>
              <w:t>0.1426</w:t>
            </w:r>
          </w:p>
        </w:tc>
        <w:tc>
          <w:tcPr>
            <w:tcW w:type="dxa" w:w="1014"/>
            <w:shd w:val="clear" w:color="auto" w:fill="FFFFFF"/>
          </w:tcPr>
          <w:p>
            <w:r>
              <w:rPr>
                <w:rFonts w:ascii="Times New Roman" w:hAnsi="Times New Roman"/>
                <w:sz w:val="18"/>
              </w:rPr>
              <w:t>0.0401</w:t>
            </w:r>
          </w:p>
        </w:tc>
        <w:tc>
          <w:tcPr>
            <w:tcW w:type="dxa" w:w="1014"/>
            <w:shd w:val="clear" w:color="auto" w:fill="FFFFFF"/>
          </w:tcPr>
          <w:p>
            <w:r>
              <w:rPr>
                <w:rFonts w:ascii="Times New Roman" w:hAnsi="Times New Roman"/>
                <w:sz w:val="18"/>
              </w:rPr>
              <w:t>0.0076</w:t>
            </w:r>
          </w:p>
        </w:tc>
        <w:tc>
          <w:tcPr>
            <w:tcW w:type="dxa" w:w="1014"/>
            <w:shd w:val="clear" w:color="auto" w:fill="FFFFFF"/>
          </w:tcPr>
          <w:p>
            <w:r>
              <w:rPr>
                <w:rFonts w:ascii="Times New Roman" w:hAnsi="Times New Roman"/>
                <w:sz w:val="18"/>
              </w:rPr>
              <w:t>0.4690</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0.2314</w:t>
            </w:r>
          </w:p>
        </w:tc>
        <w:tc>
          <w:tcPr>
            <w:tcW w:type="dxa" w:w="1014"/>
            <w:shd w:val="clear" w:color="auto" w:fill="FFFFFF"/>
          </w:tcPr>
          <w:p>
            <w:r>
              <w:rPr>
                <w:rFonts w:ascii="Times New Roman" w:hAnsi="Times New Roman"/>
                <w:sz w:val="18"/>
              </w:rPr>
              <w:t>5.3100</w:t>
            </w:r>
          </w:p>
        </w:tc>
      </w:tr>
      <w:tr>
        <w:tc>
          <w:tcPr>
            <w:tcW w:type="dxa" w:w="1014"/>
            <w:shd w:val="clear" w:color="auto" w:fill="E8F0FE"/>
          </w:tcPr>
          <w:p>
            <w:r>
              <w:rPr>
                <w:rFonts w:ascii="Times New Roman" w:hAnsi="Times New Roman"/>
                <w:sz w:val="18"/>
              </w:rPr>
              <w:t>2.0000</w:t>
            </w:r>
          </w:p>
        </w:tc>
        <w:tc>
          <w:tcPr>
            <w:tcW w:type="dxa" w:w="1014"/>
            <w:shd w:val="clear" w:color="auto" w:fill="E8F0FE"/>
          </w:tcPr>
          <w:p>
            <w:r>
              <w:rPr>
                <w:rFonts w:ascii="Times New Roman" w:hAnsi="Times New Roman"/>
                <w:sz w:val="18"/>
              </w:rPr>
              <w:t>0.0200</w:t>
            </w:r>
          </w:p>
        </w:tc>
        <w:tc>
          <w:tcPr>
            <w:tcW w:type="dxa" w:w="1014"/>
            <w:shd w:val="clear" w:color="auto" w:fill="E8F0FE"/>
          </w:tcPr>
          <w:p>
            <w:r>
              <w:rPr>
                <w:rFonts w:ascii="Times New Roman" w:hAnsi="Times New Roman"/>
                <w:sz w:val="18"/>
              </w:rPr>
              <w:t>0.1153</w:t>
            </w:r>
          </w:p>
        </w:tc>
        <w:tc>
          <w:tcPr>
            <w:tcW w:type="dxa" w:w="1014"/>
            <w:shd w:val="clear" w:color="auto" w:fill="E8F0FE"/>
          </w:tcPr>
          <w:p>
            <w:r>
              <w:rPr>
                <w:rFonts w:ascii="Times New Roman" w:hAnsi="Times New Roman"/>
                <w:sz w:val="18"/>
              </w:rPr>
              <w:t>0.0491</w:t>
            </w:r>
          </w:p>
        </w:tc>
        <w:tc>
          <w:tcPr>
            <w:tcW w:type="dxa" w:w="1014"/>
            <w:shd w:val="clear" w:color="auto" w:fill="E8F0FE"/>
          </w:tcPr>
          <w:p>
            <w:r>
              <w:rPr>
                <w:rFonts w:ascii="Times New Roman" w:hAnsi="Times New Roman"/>
                <w:sz w:val="18"/>
              </w:rPr>
              <w:t>0.0074</w:t>
            </w:r>
          </w:p>
        </w:tc>
        <w:tc>
          <w:tcPr>
            <w:tcW w:type="dxa" w:w="1014"/>
            <w:shd w:val="clear" w:color="auto" w:fill="E8F0FE"/>
          </w:tcPr>
          <w:p>
            <w:r>
              <w:rPr>
                <w:rFonts w:ascii="Times New Roman" w:hAnsi="Times New Roman"/>
                <w:sz w:val="18"/>
              </w:rPr>
              <w:t>0.4644</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0.0495</w:t>
            </w:r>
          </w:p>
        </w:tc>
        <w:tc>
          <w:tcPr>
            <w:tcW w:type="dxa" w:w="1014"/>
            <w:shd w:val="clear" w:color="auto" w:fill="E8F0FE"/>
          </w:tcPr>
          <w:p>
            <w:r>
              <w:rPr>
                <w:rFonts w:ascii="Times New Roman" w:hAnsi="Times New Roman"/>
                <w:sz w:val="18"/>
              </w:rPr>
              <w:t>6.6500</w:t>
            </w:r>
          </w:p>
        </w:tc>
      </w:tr>
      <w:tr>
        <w:tc>
          <w:tcPr>
            <w:tcW w:type="dxa" w:w="1014"/>
            <w:shd w:val="clear" w:color="auto" w:fill="FFFFFF"/>
          </w:tcPr>
          <w:p>
            <w:r>
              <w:rPr>
                <w:rFonts w:ascii="Times New Roman" w:hAnsi="Times New Roman"/>
                <w:sz w:val="18"/>
              </w:rPr>
              <w:t>2.5000</w:t>
            </w:r>
          </w:p>
        </w:tc>
        <w:tc>
          <w:tcPr>
            <w:tcW w:type="dxa" w:w="1014"/>
            <w:shd w:val="clear" w:color="auto" w:fill="FFFFFF"/>
          </w:tcPr>
          <w:p>
            <w:r>
              <w:rPr>
                <w:rFonts w:ascii="Times New Roman" w:hAnsi="Times New Roman"/>
                <w:sz w:val="18"/>
              </w:rPr>
              <w:t>0.0200</w:t>
            </w:r>
          </w:p>
        </w:tc>
        <w:tc>
          <w:tcPr>
            <w:tcW w:type="dxa" w:w="1014"/>
            <w:shd w:val="clear" w:color="auto" w:fill="FFFFFF"/>
          </w:tcPr>
          <w:p>
            <w:r>
              <w:rPr>
                <w:rFonts w:ascii="Times New Roman" w:hAnsi="Times New Roman"/>
                <w:sz w:val="18"/>
              </w:rPr>
              <w:t>0.1132</w:t>
            </w:r>
          </w:p>
        </w:tc>
        <w:tc>
          <w:tcPr>
            <w:tcW w:type="dxa" w:w="1014"/>
            <w:shd w:val="clear" w:color="auto" w:fill="FFFFFF"/>
          </w:tcPr>
          <w:p>
            <w:r>
              <w:rPr>
                <w:rFonts w:ascii="Times New Roman" w:hAnsi="Times New Roman"/>
                <w:sz w:val="18"/>
              </w:rPr>
              <w:t>0.0500</w:t>
            </w:r>
          </w:p>
        </w:tc>
        <w:tc>
          <w:tcPr>
            <w:tcW w:type="dxa" w:w="1014"/>
            <w:shd w:val="clear" w:color="auto" w:fill="FFFFFF"/>
          </w:tcPr>
          <w:p>
            <w:r>
              <w:rPr>
                <w:rFonts w:ascii="Times New Roman" w:hAnsi="Times New Roman"/>
                <w:sz w:val="18"/>
              </w:rPr>
              <w:t>0.0074</w:t>
            </w:r>
          </w:p>
        </w:tc>
        <w:tc>
          <w:tcPr>
            <w:tcW w:type="dxa" w:w="1014"/>
            <w:shd w:val="clear" w:color="auto" w:fill="FFFFFF"/>
          </w:tcPr>
          <w:p>
            <w:r>
              <w:rPr>
                <w:rFonts w:ascii="Times New Roman" w:hAnsi="Times New Roman"/>
                <w:sz w:val="18"/>
              </w:rPr>
              <w:t>0.4641</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0.0311</w:t>
            </w:r>
          </w:p>
        </w:tc>
        <w:tc>
          <w:tcPr>
            <w:tcW w:type="dxa" w:w="1014"/>
            <w:shd w:val="clear" w:color="auto" w:fill="FFFFFF"/>
          </w:tcPr>
          <w:p>
            <w:r>
              <w:rPr>
                <w:rFonts w:ascii="Times New Roman" w:hAnsi="Times New Roman"/>
                <w:sz w:val="18"/>
              </w:rPr>
              <w:t>6.7900</w:t>
            </w:r>
          </w:p>
        </w:tc>
      </w:tr>
      <w:tr>
        <w:tc>
          <w:tcPr>
            <w:tcW w:type="dxa" w:w="1014"/>
            <w:shd w:val="clear" w:color="auto" w:fill="E8F0FE"/>
          </w:tcPr>
          <w:p>
            <w:r>
              <w:rPr>
                <w:rFonts w:ascii="Times New Roman" w:hAnsi="Times New Roman"/>
                <w:sz w:val="18"/>
              </w:rPr>
              <w:t>3.0000</w:t>
            </w:r>
          </w:p>
        </w:tc>
        <w:tc>
          <w:tcPr>
            <w:tcW w:type="dxa" w:w="1014"/>
            <w:shd w:val="clear" w:color="auto" w:fill="E8F0FE"/>
          </w:tcPr>
          <w:p>
            <w:r>
              <w:rPr>
                <w:rFonts w:ascii="Times New Roman" w:hAnsi="Times New Roman"/>
                <w:sz w:val="18"/>
              </w:rPr>
              <w:t>0.0200</w:t>
            </w:r>
          </w:p>
        </w:tc>
        <w:tc>
          <w:tcPr>
            <w:tcW w:type="dxa" w:w="1014"/>
            <w:shd w:val="clear" w:color="auto" w:fill="E8F0FE"/>
          </w:tcPr>
          <w:p>
            <w:r>
              <w:rPr>
                <w:rFonts w:ascii="Times New Roman" w:hAnsi="Times New Roman"/>
                <w:sz w:val="18"/>
              </w:rPr>
              <w:t>0.1101</w:t>
            </w:r>
          </w:p>
        </w:tc>
        <w:tc>
          <w:tcPr>
            <w:tcW w:type="dxa" w:w="1014"/>
            <w:shd w:val="clear" w:color="auto" w:fill="E8F0FE"/>
          </w:tcPr>
          <w:p>
            <w:r>
              <w:rPr>
                <w:rFonts w:ascii="Times New Roman" w:hAnsi="Times New Roman"/>
                <w:sz w:val="18"/>
              </w:rPr>
              <w:t>0.0514</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0.4638</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0.0038</w:t>
            </w:r>
          </w:p>
        </w:tc>
        <w:tc>
          <w:tcPr>
            <w:tcW w:type="dxa" w:w="1014"/>
            <w:shd w:val="clear" w:color="auto" w:fill="E8F0FE"/>
          </w:tcPr>
          <w:p>
            <w:r>
              <w:rPr>
                <w:rFonts w:ascii="Times New Roman" w:hAnsi="Times New Roman"/>
                <w:sz w:val="18"/>
              </w:rPr>
              <w:t>6.9900</w:t>
            </w:r>
          </w:p>
        </w:tc>
      </w:tr>
      <w:tr>
        <w:tc>
          <w:tcPr>
            <w:tcW w:type="dxa" w:w="1014"/>
            <w:shd w:val="clear" w:color="auto" w:fill="FFFFFF"/>
          </w:tcPr>
          <w:p>
            <w:r>
              <w:rPr>
                <w:rFonts w:ascii="Times New Roman" w:hAnsi="Times New Roman"/>
                <w:sz w:val="18"/>
              </w:rPr>
              <w:t>4.0000</w:t>
            </w:r>
          </w:p>
        </w:tc>
        <w:tc>
          <w:tcPr>
            <w:tcW w:type="dxa" w:w="1014"/>
            <w:shd w:val="clear" w:color="auto" w:fill="FFFFFF"/>
          </w:tcPr>
          <w:p>
            <w:r>
              <w:rPr>
                <w:rFonts w:ascii="Times New Roman" w:hAnsi="Times New Roman"/>
                <w:sz w:val="18"/>
              </w:rPr>
              <w:t>0.0200</w:t>
            </w:r>
          </w:p>
        </w:tc>
        <w:tc>
          <w:tcPr>
            <w:tcW w:type="dxa" w:w="1014"/>
            <w:shd w:val="clear" w:color="auto" w:fill="FFFFFF"/>
          </w:tcPr>
          <w:p>
            <w:r>
              <w:rPr>
                <w:rFonts w:ascii="Times New Roman" w:hAnsi="Times New Roman"/>
                <w:sz w:val="18"/>
              </w:rPr>
              <w:t>0.1097</w:t>
            </w:r>
          </w:p>
        </w:tc>
        <w:tc>
          <w:tcPr>
            <w:tcW w:type="dxa" w:w="1014"/>
            <w:shd w:val="clear" w:color="auto" w:fill="FFFFFF"/>
          </w:tcPr>
          <w:p>
            <w:r>
              <w:rPr>
                <w:rFonts w:ascii="Times New Roman" w:hAnsi="Times New Roman"/>
                <w:sz w:val="18"/>
              </w:rPr>
              <w:t>0.0515</w:t>
            </w:r>
          </w:p>
        </w:tc>
        <w:tc>
          <w:tcPr>
            <w:tcW w:type="dxa" w:w="1014"/>
            <w:shd w:val="clear" w:color="auto" w:fill="FFFFFF"/>
          </w:tcPr>
          <w:p>
            <w:r>
              <w:rPr>
                <w:rFonts w:ascii="Times New Roman" w:hAnsi="Times New Roman"/>
                <w:sz w:val="18"/>
              </w:rPr>
              <w:t>0.0073</w:t>
            </w:r>
          </w:p>
        </w:tc>
        <w:tc>
          <w:tcPr>
            <w:tcW w:type="dxa" w:w="1014"/>
            <w:shd w:val="clear" w:color="auto" w:fill="FFFFFF"/>
          </w:tcPr>
          <w:p>
            <w:r>
              <w:rPr>
                <w:rFonts w:ascii="Times New Roman" w:hAnsi="Times New Roman"/>
                <w:sz w:val="18"/>
              </w:rPr>
              <w:t>0.4638</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0.0010</w:t>
            </w:r>
          </w:p>
        </w:tc>
        <w:tc>
          <w:tcPr>
            <w:tcW w:type="dxa" w:w="1014"/>
            <w:shd w:val="clear" w:color="auto" w:fill="FFFFFF"/>
          </w:tcPr>
          <w:p>
            <w:r>
              <w:rPr>
                <w:rFonts w:ascii="Times New Roman" w:hAnsi="Times New Roman"/>
                <w:sz w:val="18"/>
              </w:rPr>
              <w:t>7.0200</w:t>
            </w:r>
          </w:p>
        </w:tc>
      </w:tr>
      <w:tr>
        <w:tc>
          <w:tcPr>
            <w:tcW w:type="dxa" w:w="1014"/>
            <w:shd w:val="clear" w:color="auto" w:fill="E8F0FE"/>
          </w:tcPr>
          <w:p>
            <w:r>
              <w:rPr>
                <w:rFonts w:ascii="Times New Roman" w:hAnsi="Times New Roman"/>
                <w:sz w:val="18"/>
              </w:rPr>
              <w:t>5.0000</w:t>
            </w:r>
          </w:p>
        </w:tc>
        <w:tc>
          <w:tcPr>
            <w:tcW w:type="dxa" w:w="1014"/>
            <w:shd w:val="clear" w:color="auto" w:fill="E8F0FE"/>
          </w:tcPr>
          <w:p>
            <w:r>
              <w:rPr>
                <w:rFonts w:ascii="Times New Roman" w:hAnsi="Times New Roman"/>
                <w:sz w:val="18"/>
              </w:rPr>
              <w:t>0.0200</w:t>
            </w:r>
          </w:p>
        </w:tc>
        <w:tc>
          <w:tcPr>
            <w:tcW w:type="dxa" w:w="1014"/>
            <w:shd w:val="clear" w:color="auto" w:fill="E8F0FE"/>
          </w:tcPr>
          <w:p>
            <w:r>
              <w:rPr>
                <w:rFonts w:ascii="Times New Roman" w:hAnsi="Times New Roman"/>
                <w:sz w:val="18"/>
              </w:rPr>
              <w:t>0.1097</w:t>
            </w:r>
          </w:p>
        </w:tc>
        <w:tc>
          <w:tcPr>
            <w:tcW w:type="dxa" w:w="1014"/>
            <w:shd w:val="clear" w:color="auto" w:fill="E8F0FE"/>
          </w:tcPr>
          <w:p>
            <w:r>
              <w:rPr>
                <w:rFonts w:ascii="Times New Roman" w:hAnsi="Times New Roman"/>
                <w:sz w:val="18"/>
              </w:rPr>
              <w:t>0.0516</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0.4638</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0.0002</w:t>
            </w:r>
          </w:p>
        </w:tc>
        <w:tc>
          <w:tcPr>
            <w:tcW w:type="dxa" w:w="1014"/>
            <w:shd w:val="clear" w:color="auto" w:fill="E8F0FE"/>
          </w:tcPr>
          <w:p>
            <w:r>
              <w:rPr>
                <w:rFonts w:ascii="Times New Roman" w:hAnsi="Times New Roman"/>
                <w:sz w:val="18"/>
              </w:rPr>
              <w:t>7.0200</w:t>
            </w:r>
          </w:p>
        </w:tc>
      </w:tr>
      <w:tr>
        <w:tc>
          <w:tcPr>
            <w:tcW w:type="dxa" w:w="1014"/>
            <w:shd w:val="clear" w:color="auto" w:fill="FFFFFF"/>
          </w:tcPr>
          <w:p>
            <w:r>
              <w:rPr>
                <w:rFonts w:ascii="Times New Roman" w:hAnsi="Times New Roman"/>
                <w:sz w:val="18"/>
              </w:rPr>
              <w:t>1.5000</w:t>
            </w:r>
          </w:p>
        </w:tc>
        <w:tc>
          <w:tcPr>
            <w:tcW w:type="dxa" w:w="1014"/>
            <w:shd w:val="clear" w:color="auto" w:fill="FFFFFF"/>
          </w:tcPr>
          <w:p>
            <w:r>
              <w:rPr>
                <w:rFonts w:ascii="Times New Roman" w:hAnsi="Times New Roman"/>
                <w:sz w:val="18"/>
              </w:rPr>
              <w:t>0.0300</w:t>
            </w:r>
          </w:p>
        </w:tc>
        <w:tc>
          <w:tcPr>
            <w:tcW w:type="dxa" w:w="1014"/>
            <w:shd w:val="clear" w:color="auto" w:fill="FFFFFF"/>
          </w:tcPr>
          <w:p>
            <w:r>
              <w:rPr>
                <w:rFonts w:ascii="Times New Roman" w:hAnsi="Times New Roman"/>
                <w:sz w:val="18"/>
              </w:rPr>
              <w:t>0.1361</w:t>
            </w:r>
          </w:p>
        </w:tc>
        <w:tc>
          <w:tcPr>
            <w:tcW w:type="dxa" w:w="1014"/>
            <w:shd w:val="clear" w:color="auto" w:fill="FFFFFF"/>
          </w:tcPr>
          <w:p>
            <w:r>
              <w:rPr>
                <w:rFonts w:ascii="Times New Roman" w:hAnsi="Times New Roman"/>
                <w:sz w:val="18"/>
              </w:rPr>
              <w:t>0.0416</w:t>
            </w:r>
          </w:p>
        </w:tc>
        <w:tc>
          <w:tcPr>
            <w:tcW w:type="dxa" w:w="1014"/>
            <w:shd w:val="clear" w:color="auto" w:fill="FFFFFF"/>
          </w:tcPr>
          <w:p>
            <w:r>
              <w:rPr>
                <w:rFonts w:ascii="Times New Roman" w:hAnsi="Times New Roman"/>
                <w:sz w:val="18"/>
              </w:rPr>
              <w:t>0.0076</w:t>
            </w:r>
          </w:p>
        </w:tc>
        <w:tc>
          <w:tcPr>
            <w:tcW w:type="dxa" w:w="1014"/>
            <w:shd w:val="clear" w:color="auto" w:fill="FFFFFF"/>
          </w:tcPr>
          <w:p>
            <w:r>
              <w:rPr>
                <w:rFonts w:ascii="Times New Roman" w:hAnsi="Times New Roman"/>
                <w:sz w:val="18"/>
              </w:rPr>
              <w:t>0.4638</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0.3416</w:t>
            </w:r>
          </w:p>
        </w:tc>
        <w:tc>
          <w:tcPr>
            <w:tcW w:type="dxa" w:w="1014"/>
            <w:shd w:val="clear" w:color="auto" w:fill="FFFFFF"/>
          </w:tcPr>
          <w:p>
            <w:r>
              <w:rPr>
                <w:rFonts w:ascii="Times New Roman" w:hAnsi="Times New Roman"/>
                <w:sz w:val="18"/>
              </w:rPr>
              <w:t>5.4900</w:t>
            </w:r>
          </w:p>
        </w:tc>
      </w:tr>
      <w:tr>
        <w:tc>
          <w:tcPr>
            <w:tcW w:type="dxa" w:w="1014"/>
            <w:shd w:val="clear" w:color="auto" w:fill="E8F0FE"/>
          </w:tcPr>
          <w:p>
            <w:r>
              <w:rPr>
                <w:rFonts w:ascii="Times New Roman" w:hAnsi="Times New Roman"/>
                <w:sz w:val="18"/>
              </w:rPr>
              <w:t>2.0000</w:t>
            </w:r>
          </w:p>
        </w:tc>
        <w:tc>
          <w:tcPr>
            <w:tcW w:type="dxa" w:w="1014"/>
            <w:shd w:val="clear" w:color="auto" w:fill="E8F0FE"/>
          </w:tcPr>
          <w:p>
            <w:r>
              <w:rPr>
                <w:rFonts w:ascii="Times New Roman" w:hAnsi="Times New Roman"/>
                <w:sz w:val="18"/>
              </w:rPr>
              <w:t>0.0300</w:t>
            </w:r>
          </w:p>
        </w:tc>
        <w:tc>
          <w:tcPr>
            <w:tcW w:type="dxa" w:w="1014"/>
            <w:shd w:val="clear" w:color="auto" w:fill="E8F0FE"/>
          </w:tcPr>
          <w:p>
            <w:r>
              <w:rPr>
                <w:rFonts w:ascii="Times New Roman" w:hAnsi="Times New Roman"/>
                <w:sz w:val="18"/>
              </w:rPr>
              <w:t>0.1051</w:t>
            </w:r>
          </w:p>
        </w:tc>
        <w:tc>
          <w:tcPr>
            <w:tcW w:type="dxa" w:w="1014"/>
            <w:shd w:val="clear" w:color="auto" w:fill="E8F0FE"/>
          </w:tcPr>
          <w:p>
            <w:r>
              <w:rPr>
                <w:rFonts w:ascii="Times New Roman" w:hAnsi="Times New Roman"/>
                <w:sz w:val="18"/>
              </w:rPr>
              <w:t>0.0532</w:t>
            </w:r>
          </w:p>
        </w:tc>
        <w:tc>
          <w:tcPr>
            <w:tcW w:type="dxa" w:w="1014"/>
            <w:shd w:val="clear" w:color="auto" w:fill="E8F0FE"/>
          </w:tcPr>
          <w:p>
            <w:r>
              <w:rPr>
                <w:rFonts w:ascii="Times New Roman" w:hAnsi="Times New Roman"/>
                <w:sz w:val="18"/>
              </w:rPr>
              <w:t>0.0074</w:t>
            </w:r>
          </w:p>
        </w:tc>
        <w:tc>
          <w:tcPr>
            <w:tcW w:type="dxa" w:w="1014"/>
            <w:shd w:val="clear" w:color="auto" w:fill="E8F0FE"/>
          </w:tcPr>
          <w:p>
            <w:r>
              <w:rPr>
                <w:rFonts w:ascii="Times New Roman" w:hAnsi="Times New Roman"/>
                <w:sz w:val="18"/>
              </w:rPr>
              <w:t>0.4582</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0.1472</w:t>
            </w:r>
          </w:p>
        </w:tc>
        <w:tc>
          <w:tcPr>
            <w:tcW w:type="dxa" w:w="1014"/>
            <w:shd w:val="clear" w:color="auto" w:fill="E8F0FE"/>
          </w:tcPr>
          <w:p>
            <w:r>
              <w:rPr>
                <w:rFonts w:ascii="Times New Roman" w:hAnsi="Times New Roman"/>
                <w:sz w:val="18"/>
              </w:rPr>
              <w:t>7.2000</w:t>
            </w:r>
          </w:p>
        </w:tc>
      </w:tr>
      <w:tr>
        <w:tc>
          <w:tcPr>
            <w:tcW w:type="dxa" w:w="1014"/>
            <w:shd w:val="clear" w:color="auto" w:fill="FFFFFF"/>
          </w:tcPr>
          <w:p>
            <w:r>
              <w:rPr>
                <w:rFonts w:ascii="Times New Roman" w:hAnsi="Times New Roman"/>
                <w:sz w:val="18"/>
              </w:rPr>
              <w:t>2.5000</w:t>
            </w:r>
          </w:p>
        </w:tc>
        <w:tc>
          <w:tcPr>
            <w:tcW w:type="dxa" w:w="1014"/>
            <w:shd w:val="clear" w:color="auto" w:fill="FFFFFF"/>
          </w:tcPr>
          <w:p>
            <w:r>
              <w:rPr>
                <w:rFonts w:ascii="Times New Roman" w:hAnsi="Times New Roman"/>
                <w:sz w:val="18"/>
              </w:rPr>
              <w:t>0.0300</w:t>
            </w:r>
          </w:p>
        </w:tc>
        <w:tc>
          <w:tcPr>
            <w:tcW w:type="dxa" w:w="1014"/>
            <w:shd w:val="clear" w:color="auto" w:fill="FFFFFF"/>
          </w:tcPr>
          <w:p>
            <w:r>
              <w:rPr>
                <w:rFonts w:ascii="Times New Roman" w:hAnsi="Times New Roman"/>
                <w:sz w:val="18"/>
              </w:rPr>
              <w:t>0.0967</w:t>
            </w:r>
          </w:p>
        </w:tc>
        <w:tc>
          <w:tcPr>
            <w:tcW w:type="dxa" w:w="1014"/>
            <w:shd w:val="clear" w:color="auto" w:fill="FFFFFF"/>
          </w:tcPr>
          <w:p>
            <w:r>
              <w:rPr>
                <w:rFonts w:ascii="Times New Roman" w:hAnsi="Times New Roman"/>
                <w:sz w:val="18"/>
              </w:rPr>
              <w:t>0.0576</w:t>
            </w:r>
          </w:p>
        </w:tc>
        <w:tc>
          <w:tcPr>
            <w:tcW w:type="dxa" w:w="1014"/>
            <w:shd w:val="clear" w:color="auto" w:fill="FFFFFF"/>
          </w:tcPr>
          <w:p>
            <w:r>
              <w:rPr>
                <w:rFonts w:ascii="Times New Roman" w:hAnsi="Times New Roman"/>
                <w:sz w:val="18"/>
              </w:rPr>
              <w:t>0.0073</w:t>
            </w:r>
          </w:p>
        </w:tc>
        <w:tc>
          <w:tcPr>
            <w:tcW w:type="dxa" w:w="1014"/>
            <w:shd w:val="clear" w:color="auto" w:fill="FFFFFF"/>
          </w:tcPr>
          <w:p>
            <w:r>
              <w:rPr>
                <w:rFonts w:ascii="Times New Roman" w:hAnsi="Times New Roman"/>
                <w:sz w:val="18"/>
              </w:rPr>
              <w:t>0.4569</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0.0738</w:t>
            </w:r>
          </w:p>
        </w:tc>
        <w:tc>
          <w:tcPr>
            <w:tcW w:type="dxa" w:w="1014"/>
            <w:shd w:val="clear" w:color="auto" w:fill="FFFFFF"/>
          </w:tcPr>
          <w:p>
            <w:r>
              <w:rPr>
                <w:rFonts w:ascii="Times New Roman" w:hAnsi="Times New Roman"/>
                <w:sz w:val="18"/>
              </w:rPr>
              <w:t>7.8600</w:t>
            </w:r>
          </w:p>
        </w:tc>
      </w:tr>
      <w:tr>
        <w:tc>
          <w:tcPr>
            <w:tcW w:type="dxa" w:w="1014"/>
            <w:shd w:val="clear" w:color="auto" w:fill="E8F0FE"/>
          </w:tcPr>
          <w:p>
            <w:r>
              <w:rPr>
                <w:rFonts w:ascii="Times New Roman" w:hAnsi="Times New Roman"/>
                <w:sz w:val="18"/>
              </w:rPr>
              <w:t>3.0000</w:t>
            </w:r>
          </w:p>
        </w:tc>
        <w:tc>
          <w:tcPr>
            <w:tcW w:type="dxa" w:w="1014"/>
            <w:shd w:val="clear" w:color="auto" w:fill="E8F0FE"/>
          </w:tcPr>
          <w:p>
            <w:r>
              <w:rPr>
                <w:rFonts w:ascii="Times New Roman" w:hAnsi="Times New Roman"/>
                <w:sz w:val="18"/>
              </w:rPr>
              <w:t>0.0300</w:t>
            </w:r>
          </w:p>
        </w:tc>
        <w:tc>
          <w:tcPr>
            <w:tcW w:type="dxa" w:w="1014"/>
            <w:shd w:val="clear" w:color="auto" w:fill="E8F0FE"/>
          </w:tcPr>
          <w:p>
            <w:r>
              <w:rPr>
                <w:rFonts w:ascii="Times New Roman" w:hAnsi="Times New Roman"/>
                <w:sz w:val="18"/>
              </w:rPr>
              <w:t>0.0906</w:t>
            </w:r>
          </w:p>
        </w:tc>
        <w:tc>
          <w:tcPr>
            <w:tcW w:type="dxa" w:w="1014"/>
            <w:shd w:val="clear" w:color="auto" w:fill="E8F0FE"/>
          </w:tcPr>
          <w:p>
            <w:r>
              <w:rPr>
                <w:rFonts w:ascii="Times New Roman" w:hAnsi="Times New Roman"/>
                <w:sz w:val="18"/>
              </w:rPr>
              <w:t>0.0614</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0.4561</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0.0113</w:t>
            </w:r>
          </w:p>
        </w:tc>
        <w:tc>
          <w:tcPr>
            <w:tcW w:type="dxa" w:w="1014"/>
            <w:shd w:val="clear" w:color="auto" w:fill="E8F0FE"/>
          </w:tcPr>
          <w:p>
            <w:r>
              <w:rPr>
                <w:rFonts w:ascii="Times New Roman" w:hAnsi="Times New Roman"/>
                <w:sz w:val="18"/>
              </w:rPr>
              <w:t>8.4200</w:t>
            </w:r>
          </w:p>
        </w:tc>
      </w:tr>
      <w:tr>
        <w:tc>
          <w:tcPr>
            <w:tcW w:type="dxa" w:w="1014"/>
            <w:shd w:val="clear" w:color="auto" w:fill="FFFFFF"/>
          </w:tcPr>
          <w:p>
            <w:r>
              <w:rPr>
                <w:rFonts w:ascii="Times New Roman" w:hAnsi="Times New Roman"/>
                <w:sz w:val="18"/>
              </w:rPr>
              <w:t>4.0000</w:t>
            </w:r>
          </w:p>
        </w:tc>
        <w:tc>
          <w:tcPr>
            <w:tcW w:type="dxa" w:w="1014"/>
            <w:shd w:val="clear" w:color="auto" w:fill="FFFFFF"/>
          </w:tcPr>
          <w:p>
            <w:r>
              <w:rPr>
                <w:rFonts w:ascii="Times New Roman" w:hAnsi="Times New Roman"/>
                <w:sz w:val="18"/>
              </w:rPr>
              <w:t>0.0300</w:t>
            </w:r>
          </w:p>
        </w:tc>
        <w:tc>
          <w:tcPr>
            <w:tcW w:type="dxa" w:w="1014"/>
            <w:shd w:val="clear" w:color="auto" w:fill="FFFFFF"/>
          </w:tcPr>
          <w:p>
            <w:r>
              <w:rPr>
                <w:rFonts w:ascii="Times New Roman" w:hAnsi="Times New Roman"/>
                <w:sz w:val="18"/>
              </w:rPr>
              <w:t>0.0899</w:t>
            </w:r>
          </w:p>
        </w:tc>
        <w:tc>
          <w:tcPr>
            <w:tcW w:type="dxa" w:w="1014"/>
            <w:shd w:val="clear" w:color="auto" w:fill="FFFFFF"/>
          </w:tcPr>
          <w:p>
            <w:r>
              <w:rPr>
                <w:rFonts w:ascii="Times New Roman" w:hAnsi="Times New Roman"/>
                <w:sz w:val="18"/>
              </w:rPr>
              <w:t>0.0619</w:t>
            </w:r>
          </w:p>
        </w:tc>
        <w:tc>
          <w:tcPr>
            <w:tcW w:type="dxa" w:w="1014"/>
            <w:shd w:val="clear" w:color="auto" w:fill="FFFFFF"/>
          </w:tcPr>
          <w:p>
            <w:r>
              <w:rPr>
                <w:rFonts w:ascii="Times New Roman" w:hAnsi="Times New Roman"/>
                <w:sz w:val="18"/>
              </w:rPr>
              <w:t>0.0073</w:t>
            </w:r>
          </w:p>
        </w:tc>
        <w:tc>
          <w:tcPr>
            <w:tcW w:type="dxa" w:w="1014"/>
            <w:shd w:val="clear" w:color="auto" w:fill="FFFFFF"/>
          </w:tcPr>
          <w:p>
            <w:r>
              <w:rPr>
                <w:rFonts w:ascii="Times New Roman" w:hAnsi="Times New Roman"/>
                <w:sz w:val="18"/>
              </w:rPr>
              <w:t>0.4560</w:t>
            </w:r>
          </w:p>
        </w:tc>
        <w:tc>
          <w:tcPr>
            <w:tcW w:type="dxa" w:w="1014"/>
            <w:shd w:val="clear" w:color="auto" w:fill="FFFFFF"/>
          </w:tcPr>
          <w:p>
            <w:r>
              <w:rPr>
                <w:rFonts w:ascii="Times New Roman" w:hAnsi="Times New Roman"/>
                <w:sz w:val="18"/>
              </w:rPr>
              <w:t>0.0000</w:t>
            </w:r>
          </w:p>
        </w:tc>
        <w:tc>
          <w:tcPr>
            <w:tcW w:type="dxa" w:w="1014"/>
            <w:shd w:val="clear" w:color="auto" w:fill="FFFFFF"/>
          </w:tcPr>
          <w:p>
            <w:r>
              <w:rPr>
                <w:rFonts w:ascii="Times New Roman" w:hAnsi="Times New Roman"/>
                <w:sz w:val="18"/>
              </w:rPr>
              <w:t>0.0029</w:t>
            </w:r>
          </w:p>
        </w:tc>
        <w:tc>
          <w:tcPr>
            <w:tcW w:type="dxa" w:w="1014"/>
            <w:shd w:val="clear" w:color="auto" w:fill="FFFFFF"/>
          </w:tcPr>
          <w:p>
            <w:r>
              <w:rPr>
                <w:rFonts w:ascii="Times New Roman" w:hAnsi="Times New Roman"/>
                <w:sz w:val="18"/>
              </w:rPr>
              <w:t>8.4900</w:t>
            </w:r>
          </w:p>
        </w:tc>
      </w:tr>
      <w:tr>
        <w:tc>
          <w:tcPr>
            <w:tcW w:type="dxa" w:w="1014"/>
            <w:shd w:val="clear" w:color="auto" w:fill="E8F0FE"/>
          </w:tcPr>
          <w:p>
            <w:r>
              <w:rPr>
                <w:rFonts w:ascii="Times New Roman" w:hAnsi="Times New Roman"/>
                <w:sz w:val="18"/>
              </w:rPr>
              <w:t>5.0000</w:t>
            </w:r>
          </w:p>
        </w:tc>
        <w:tc>
          <w:tcPr>
            <w:tcW w:type="dxa" w:w="1014"/>
            <w:shd w:val="clear" w:color="auto" w:fill="E8F0FE"/>
          </w:tcPr>
          <w:p>
            <w:r>
              <w:rPr>
                <w:rFonts w:ascii="Times New Roman" w:hAnsi="Times New Roman"/>
                <w:sz w:val="18"/>
              </w:rPr>
              <w:t>0.0300</w:t>
            </w:r>
          </w:p>
        </w:tc>
        <w:tc>
          <w:tcPr>
            <w:tcW w:type="dxa" w:w="1014"/>
            <w:shd w:val="clear" w:color="auto" w:fill="E8F0FE"/>
          </w:tcPr>
          <w:p>
            <w:r>
              <w:rPr>
                <w:rFonts w:ascii="Times New Roman" w:hAnsi="Times New Roman"/>
                <w:sz w:val="18"/>
              </w:rPr>
              <w:t>0.0897</w:t>
            </w:r>
          </w:p>
        </w:tc>
        <w:tc>
          <w:tcPr>
            <w:tcW w:type="dxa" w:w="1014"/>
            <w:shd w:val="clear" w:color="auto" w:fill="E8F0FE"/>
          </w:tcPr>
          <w:p>
            <w:r>
              <w:rPr>
                <w:rFonts w:ascii="Times New Roman" w:hAnsi="Times New Roman"/>
                <w:sz w:val="18"/>
              </w:rPr>
              <w:t>0.0620</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0.4560</w:t>
            </w:r>
          </w:p>
        </w:tc>
        <w:tc>
          <w:tcPr>
            <w:tcW w:type="dxa" w:w="1014"/>
            <w:shd w:val="clear" w:color="auto" w:fill="E8F0FE"/>
          </w:tcPr>
          <w:p>
            <w:r>
              <w:rPr>
                <w:rFonts w:ascii="Times New Roman" w:hAnsi="Times New Roman"/>
                <w:sz w:val="18"/>
              </w:rPr>
              <w:t>0.0000</w:t>
            </w:r>
          </w:p>
        </w:tc>
        <w:tc>
          <w:tcPr>
            <w:tcW w:type="dxa" w:w="1014"/>
            <w:shd w:val="clear" w:color="auto" w:fill="E8F0FE"/>
          </w:tcPr>
          <w:p>
            <w:r>
              <w:rPr>
                <w:rFonts w:ascii="Times New Roman" w:hAnsi="Times New Roman"/>
                <w:sz w:val="18"/>
              </w:rPr>
              <w:t>0.0012</w:t>
            </w:r>
          </w:p>
        </w:tc>
        <w:tc>
          <w:tcPr>
            <w:tcW w:type="dxa" w:w="1014"/>
            <w:shd w:val="clear" w:color="auto" w:fill="E8F0FE"/>
          </w:tcPr>
          <w:p>
            <w:r>
              <w:rPr>
                <w:rFonts w:ascii="Times New Roman" w:hAnsi="Times New Roman"/>
                <w:sz w:val="18"/>
              </w:rPr>
              <w:t>8.5100</w:t>
            </w:r>
          </w:p>
        </w:tc>
      </w:tr>
      <w:tr>
        <w:tc>
          <w:tcPr>
            <w:tcW w:type="dxa" w:w="1014"/>
            <w:shd w:val="clear" w:color="auto" w:fill="FFFFFF"/>
          </w:tcPr>
          <w:p>
            <w:r>
              <w:rPr>
                <w:rFonts w:ascii="Times New Roman" w:hAnsi="Times New Roman"/>
                <w:sz w:val="18"/>
              </w:rPr>
              <w:t>1.5000</w:t>
            </w:r>
          </w:p>
        </w:tc>
        <w:tc>
          <w:tcPr>
            <w:tcW w:type="dxa" w:w="1014"/>
            <w:shd w:val="clear" w:color="auto" w:fill="FFFFFF"/>
          </w:tcPr>
          <w:p>
            <w:r>
              <w:rPr>
                <w:rFonts w:ascii="Times New Roman" w:hAnsi="Times New Roman"/>
                <w:sz w:val="18"/>
              </w:rPr>
              <w:t>0.0500</w:t>
            </w:r>
          </w:p>
        </w:tc>
        <w:tc>
          <w:tcPr>
            <w:tcW w:type="dxa" w:w="1014"/>
            <w:shd w:val="clear" w:color="auto" w:fill="FFFFFF"/>
          </w:tcPr>
          <w:p>
            <w:r>
              <w:rPr>
                <w:rFonts w:ascii="Times New Roman" w:hAnsi="Times New Roman"/>
                <w:sz w:val="18"/>
              </w:rPr>
              <w:t>0.1283</w:t>
            </w:r>
          </w:p>
        </w:tc>
        <w:tc>
          <w:tcPr>
            <w:tcW w:type="dxa" w:w="1014"/>
            <w:shd w:val="clear" w:color="auto" w:fill="FFFFFF"/>
          </w:tcPr>
          <w:p>
            <w:r>
              <w:rPr>
                <w:rFonts w:ascii="Times New Roman" w:hAnsi="Times New Roman"/>
                <w:sz w:val="18"/>
              </w:rPr>
              <w:t>0.0432</w:t>
            </w:r>
          </w:p>
        </w:tc>
        <w:tc>
          <w:tcPr>
            <w:tcW w:type="dxa" w:w="1014"/>
            <w:shd w:val="clear" w:color="auto" w:fill="FFFFFF"/>
          </w:tcPr>
          <w:p>
            <w:r>
              <w:rPr>
                <w:rFonts w:ascii="Times New Roman" w:hAnsi="Times New Roman"/>
                <w:sz w:val="18"/>
              </w:rPr>
              <w:t>0.0076</w:t>
            </w:r>
          </w:p>
        </w:tc>
        <w:tc>
          <w:tcPr>
            <w:tcW w:type="dxa" w:w="1014"/>
            <w:shd w:val="clear" w:color="auto" w:fill="FFFFFF"/>
          </w:tcPr>
          <w:p>
            <w:r>
              <w:rPr>
                <w:rFonts w:ascii="Times New Roman" w:hAnsi="Times New Roman"/>
                <w:sz w:val="18"/>
              </w:rPr>
              <w:t>0.4544</w:t>
            </w:r>
          </w:p>
        </w:tc>
        <w:tc>
          <w:tcPr>
            <w:tcW w:type="dxa" w:w="1014"/>
            <w:shd w:val="clear" w:color="auto" w:fill="FFFFFF"/>
          </w:tcPr>
          <w:p>
            <w:r>
              <w:rPr>
                <w:rFonts w:ascii="Times New Roman" w:hAnsi="Times New Roman"/>
                <w:sz w:val="18"/>
              </w:rPr>
              <w:t>0.0006</w:t>
            </w:r>
          </w:p>
        </w:tc>
        <w:tc>
          <w:tcPr>
            <w:tcW w:type="dxa" w:w="1014"/>
            <w:shd w:val="clear" w:color="auto" w:fill="FFFFFF"/>
          </w:tcPr>
          <w:p>
            <w:r>
              <w:rPr>
                <w:rFonts w:ascii="Times New Roman" w:hAnsi="Times New Roman"/>
                <w:sz w:val="18"/>
              </w:rPr>
              <w:t>0.4272</w:t>
            </w:r>
          </w:p>
        </w:tc>
        <w:tc>
          <w:tcPr>
            <w:tcW w:type="dxa" w:w="1014"/>
            <w:shd w:val="clear" w:color="auto" w:fill="FFFFFF"/>
          </w:tcPr>
          <w:p>
            <w:r>
              <w:rPr>
                <w:rFonts w:ascii="Times New Roman" w:hAnsi="Times New Roman"/>
                <w:sz w:val="18"/>
              </w:rPr>
              <w:t>5.6600</w:t>
            </w:r>
          </w:p>
        </w:tc>
      </w:tr>
      <w:tr>
        <w:tc>
          <w:tcPr>
            <w:tcW w:type="dxa" w:w="1014"/>
            <w:shd w:val="clear" w:color="auto" w:fill="E8F0FE"/>
          </w:tcPr>
          <w:p>
            <w:r>
              <w:rPr>
                <w:rFonts w:ascii="Times New Roman" w:hAnsi="Times New Roman"/>
                <w:sz w:val="18"/>
              </w:rPr>
              <w:t>2.0000</w:t>
            </w:r>
          </w:p>
        </w:tc>
        <w:tc>
          <w:tcPr>
            <w:tcW w:type="dxa" w:w="1014"/>
            <w:shd w:val="clear" w:color="auto" w:fill="E8F0FE"/>
          </w:tcPr>
          <w:p>
            <w:r>
              <w:rPr>
                <w:rFonts w:ascii="Times New Roman" w:hAnsi="Times New Roman"/>
                <w:sz w:val="18"/>
              </w:rPr>
              <w:t>0.0500</w:t>
            </w:r>
          </w:p>
        </w:tc>
        <w:tc>
          <w:tcPr>
            <w:tcW w:type="dxa" w:w="1014"/>
            <w:shd w:val="clear" w:color="auto" w:fill="E8F0FE"/>
          </w:tcPr>
          <w:p>
            <w:r>
              <w:rPr>
                <w:rFonts w:ascii="Times New Roman" w:hAnsi="Times New Roman"/>
                <w:sz w:val="18"/>
              </w:rPr>
              <w:t>0.0937</w:t>
            </w:r>
          </w:p>
        </w:tc>
        <w:tc>
          <w:tcPr>
            <w:tcW w:type="dxa" w:w="1014"/>
            <w:shd w:val="clear" w:color="auto" w:fill="E8F0FE"/>
          </w:tcPr>
          <w:p>
            <w:r>
              <w:rPr>
                <w:rFonts w:ascii="Times New Roman" w:hAnsi="Times New Roman"/>
                <w:sz w:val="18"/>
              </w:rPr>
              <w:t>0.0582</w:t>
            </w:r>
          </w:p>
        </w:tc>
        <w:tc>
          <w:tcPr>
            <w:tcW w:type="dxa" w:w="1014"/>
            <w:shd w:val="clear" w:color="auto" w:fill="E8F0FE"/>
          </w:tcPr>
          <w:p>
            <w:r>
              <w:rPr>
                <w:rFonts w:ascii="Times New Roman" w:hAnsi="Times New Roman"/>
                <w:sz w:val="18"/>
              </w:rPr>
              <w:t>0.0074</w:t>
            </w:r>
          </w:p>
        </w:tc>
        <w:tc>
          <w:tcPr>
            <w:tcW w:type="dxa" w:w="1014"/>
            <w:shd w:val="clear" w:color="auto" w:fill="E8F0FE"/>
          </w:tcPr>
          <w:p>
            <w:r>
              <w:rPr>
                <w:rFonts w:ascii="Times New Roman" w:hAnsi="Times New Roman"/>
                <w:sz w:val="18"/>
              </w:rPr>
              <w:t>0.4473</w:t>
            </w:r>
          </w:p>
        </w:tc>
        <w:tc>
          <w:tcPr>
            <w:tcW w:type="dxa" w:w="1014"/>
            <w:shd w:val="clear" w:color="auto" w:fill="E8F0FE"/>
          </w:tcPr>
          <w:p>
            <w:r>
              <w:rPr>
                <w:rFonts w:ascii="Times New Roman" w:hAnsi="Times New Roman"/>
                <w:sz w:val="18"/>
              </w:rPr>
              <w:t>0.0009</w:t>
            </w:r>
          </w:p>
        </w:tc>
        <w:tc>
          <w:tcPr>
            <w:tcW w:type="dxa" w:w="1014"/>
            <w:shd w:val="clear" w:color="auto" w:fill="E8F0FE"/>
          </w:tcPr>
          <w:p>
            <w:r>
              <w:rPr>
                <w:rFonts w:ascii="Times New Roman" w:hAnsi="Times New Roman"/>
                <w:sz w:val="18"/>
              </w:rPr>
              <w:t>0.2158</w:t>
            </w:r>
          </w:p>
        </w:tc>
        <w:tc>
          <w:tcPr>
            <w:tcW w:type="dxa" w:w="1014"/>
            <w:shd w:val="clear" w:color="auto" w:fill="E8F0FE"/>
          </w:tcPr>
          <w:p>
            <w:r>
              <w:rPr>
                <w:rFonts w:ascii="Times New Roman" w:hAnsi="Times New Roman"/>
                <w:sz w:val="18"/>
              </w:rPr>
              <w:t>7.8200</w:t>
            </w:r>
          </w:p>
        </w:tc>
      </w:tr>
      <w:tr>
        <w:tc>
          <w:tcPr>
            <w:tcW w:type="dxa" w:w="1014"/>
            <w:shd w:val="clear" w:color="auto" w:fill="FFFFFF"/>
          </w:tcPr>
          <w:p>
            <w:r>
              <w:rPr>
                <w:rFonts w:ascii="Times New Roman" w:hAnsi="Times New Roman"/>
                <w:sz w:val="18"/>
              </w:rPr>
              <w:t>2.5000</w:t>
            </w:r>
          </w:p>
        </w:tc>
        <w:tc>
          <w:tcPr>
            <w:tcW w:type="dxa" w:w="1014"/>
            <w:shd w:val="clear" w:color="auto" w:fill="FFFFFF"/>
          </w:tcPr>
          <w:p>
            <w:r>
              <w:rPr>
                <w:rFonts w:ascii="Times New Roman" w:hAnsi="Times New Roman"/>
                <w:sz w:val="18"/>
              </w:rPr>
              <w:t>0.0500</w:t>
            </w:r>
          </w:p>
        </w:tc>
        <w:tc>
          <w:tcPr>
            <w:tcW w:type="dxa" w:w="1014"/>
            <w:shd w:val="clear" w:color="auto" w:fill="FFFFFF"/>
          </w:tcPr>
          <w:p>
            <w:r>
              <w:rPr>
                <w:rFonts w:ascii="Times New Roman" w:hAnsi="Times New Roman"/>
                <w:sz w:val="18"/>
              </w:rPr>
              <w:t>0.0846</w:t>
            </w:r>
          </w:p>
        </w:tc>
        <w:tc>
          <w:tcPr>
            <w:tcW w:type="dxa" w:w="1014"/>
            <w:shd w:val="clear" w:color="auto" w:fill="FFFFFF"/>
          </w:tcPr>
          <w:p>
            <w:r>
              <w:rPr>
                <w:rFonts w:ascii="Times New Roman" w:hAnsi="Times New Roman"/>
                <w:sz w:val="18"/>
              </w:rPr>
              <w:t>0.0642</w:t>
            </w:r>
          </w:p>
        </w:tc>
        <w:tc>
          <w:tcPr>
            <w:tcW w:type="dxa" w:w="1014"/>
            <w:shd w:val="clear" w:color="auto" w:fill="FFFFFF"/>
          </w:tcPr>
          <w:p>
            <w:r>
              <w:rPr>
                <w:rFonts w:ascii="Times New Roman" w:hAnsi="Times New Roman"/>
                <w:sz w:val="18"/>
              </w:rPr>
              <w:t>0.0074</w:t>
            </w:r>
          </w:p>
        </w:tc>
        <w:tc>
          <w:tcPr>
            <w:tcW w:type="dxa" w:w="1014"/>
            <w:shd w:val="clear" w:color="auto" w:fill="FFFFFF"/>
          </w:tcPr>
          <w:p>
            <w:r>
              <w:rPr>
                <w:rFonts w:ascii="Times New Roman" w:hAnsi="Times New Roman"/>
                <w:sz w:val="18"/>
              </w:rPr>
              <w:t>0.4455</w:t>
            </w:r>
          </w:p>
        </w:tc>
        <w:tc>
          <w:tcPr>
            <w:tcW w:type="dxa" w:w="1014"/>
            <w:shd w:val="clear" w:color="auto" w:fill="FFFFFF"/>
          </w:tcPr>
          <w:p>
            <w:r>
              <w:rPr>
                <w:rFonts w:ascii="Times New Roman" w:hAnsi="Times New Roman"/>
                <w:sz w:val="18"/>
              </w:rPr>
              <w:t>0.0010</w:t>
            </w:r>
          </w:p>
        </w:tc>
        <w:tc>
          <w:tcPr>
            <w:tcW w:type="dxa" w:w="1014"/>
            <w:shd w:val="clear" w:color="auto" w:fill="FFFFFF"/>
          </w:tcPr>
          <w:p>
            <w:r>
              <w:rPr>
                <w:rFonts w:ascii="Times New Roman" w:hAnsi="Times New Roman"/>
                <w:sz w:val="18"/>
              </w:rPr>
              <w:t>0.1313</w:t>
            </w:r>
          </w:p>
        </w:tc>
        <w:tc>
          <w:tcPr>
            <w:tcW w:type="dxa" w:w="1014"/>
            <w:shd w:val="clear" w:color="auto" w:fill="FFFFFF"/>
          </w:tcPr>
          <w:p>
            <w:r>
              <w:rPr>
                <w:rFonts w:ascii="Times New Roman" w:hAnsi="Times New Roman"/>
                <w:sz w:val="18"/>
              </w:rPr>
              <w:t>8.6900</w:t>
            </w:r>
          </w:p>
        </w:tc>
      </w:tr>
      <w:tr>
        <w:tc>
          <w:tcPr>
            <w:tcW w:type="dxa" w:w="1014"/>
            <w:shd w:val="clear" w:color="auto" w:fill="E8F0FE"/>
          </w:tcPr>
          <w:p>
            <w:r>
              <w:rPr>
                <w:rFonts w:ascii="Times New Roman" w:hAnsi="Times New Roman"/>
                <w:sz w:val="18"/>
              </w:rPr>
              <w:t>3.0000</w:t>
            </w:r>
          </w:p>
        </w:tc>
        <w:tc>
          <w:tcPr>
            <w:tcW w:type="dxa" w:w="1014"/>
            <w:shd w:val="clear" w:color="auto" w:fill="E8F0FE"/>
          </w:tcPr>
          <w:p>
            <w:r>
              <w:rPr>
                <w:rFonts w:ascii="Times New Roman" w:hAnsi="Times New Roman"/>
                <w:sz w:val="18"/>
              </w:rPr>
              <w:t>0.0500</w:t>
            </w:r>
          </w:p>
        </w:tc>
        <w:tc>
          <w:tcPr>
            <w:tcW w:type="dxa" w:w="1014"/>
            <w:shd w:val="clear" w:color="auto" w:fill="E8F0FE"/>
          </w:tcPr>
          <w:p>
            <w:r>
              <w:rPr>
                <w:rFonts w:ascii="Times New Roman" w:hAnsi="Times New Roman"/>
                <w:sz w:val="18"/>
              </w:rPr>
              <w:t>0.0757</w:t>
            </w:r>
          </w:p>
        </w:tc>
        <w:tc>
          <w:tcPr>
            <w:tcW w:type="dxa" w:w="1014"/>
            <w:shd w:val="clear" w:color="auto" w:fill="E8F0FE"/>
          </w:tcPr>
          <w:p>
            <w:r>
              <w:rPr>
                <w:rFonts w:ascii="Times New Roman" w:hAnsi="Times New Roman"/>
                <w:sz w:val="18"/>
              </w:rPr>
              <w:t>0.0715</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0.4442</w:t>
            </w:r>
          </w:p>
        </w:tc>
        <w:tc>
          <w:tcPr>
            <w:tcW w:type="dxa" w:w="1014"/>
            <w:shd w:val="clear" w:color="auto" w:fill="E8F0FE"/>
          </w:tcPr>
          <w:p>
            <w:r>
              <w:rPr>
                <w:rFonts w:ascii="Times New Roman" w:hAnsi="Times New Roman"/>
                <w:sz w:val="18"/>
              </w:rPr>
              <w:t>0.0011</w:t>
            </w:r>
          </w:p>
        </w:tc>
        <w:tc>
          <w:tcPr>
            <w:tcW w:type="dxa" w:w="1014"/>
            <w:shd w:val="clear" w:color="auto" w:fill="E8F0FE"/>
          </w:tcPr>
          <w:p>
            <w:r>
              <w:rPr>
                <w:rFonts w:ascii="Times New Roman" w:hAnsi="Times New Roman"/>
                <w:sz w:val="18"/>
              </w:rPr>
              <w:t>0.0293</w:t>
            </w:r>
          </w:p>
        </w:tc>
        <w:tc>
          <w:tcPr>
            <w:tcW w:type="dxa" w:w="1014"/>
            <w:shd w:val="clear" w:color="auto" w:fill="E8F0FE"/>
          </w:tcPr>
          <w:p>
            <w:r>
              <w:rPr>
                <w:rFonts w:ascii="Times New Roman" w:hAnsi="Times New Roman"/>
                <w:sz w:val="18"/>
              </w:rPr>
              <w:t>9.7600</w:t>
            </w:r>
          </w:p>
        </w:tc>
      </w:tr>
      <w:tr>
        <w:tc>
          <w:tcPr>
            <w:tcW w:type="dxa" w:w="1014"/>
            <w:shd w:val="clear" w:color="auto" w:fill="FFFFFF"/>
          </w:tcPr>
          <w:p>
            <w:r>
              <w:rPr>
                <w:rFonts w:ascii="Times New Roman" w:hAnsi="Times New Roman"/>
                <w:sz w:val="18"/>
              </w:rPr>
              <w:t>4.0000</w:t>
            </w:r>
          </w:p>
        </w:tc>
        <w:tc>
          <w:tcPr>
            <w:tcW w:type="dxa" w:w="1014"/>
            <w:shd w:val="clear" w:color="auto" w:fill="FFFFFF"/>
          </w:tcPr>
          <w:p>
            <w:r>
              <w:rPr>
                <w:rFonts w:ascii="Times New Roman" w:hAnsi="Times New Roman"/>
                <w:sz w:val="18"/>
              </w:rPr>
              <w:t>0.0500</w:t>
            </w:r>
          </w:p>
        </w:tc>
        <w:tc>
          <w:tcPr>
            <w:tcW w:type="dxa" w:w="1014"/>
            <w:shd w:val="clear" w:color="auto" w:fill="FFFFFF"/>
          </w:tcPr>
          <w:p>
            <w:r>
              <w:rPr>
                <w:rFonts w:ascii="Times New Roman" w:hAnsi="Times New Roman"/>
                <w:sz w:val="18"/>
              </w:rPr>
              <w:t>0.0743</w:t>
            </w:r>
          </w:p>
        </w:tc>
        <w:tc>
          <w:tcPr>
            <w:tcW w:type="dxa" w:w="1014"/>
            <w:shd w:val="clear" w:color="auto" w:fill="FFFFFF"/>
          </w:tcPr>
          <w:p>
            <w:r>
              <w:rPr>
                <w:rFonts w:ascii="Times New Roman" w:hAnsi="Times New Roman"/>
                <w:sz w:val="18"/>
              </w:rPr>
              <w:t>0.0729</w:t>
            </w:r>
          </w:p>
        </w:tc>
        <w:tc>
          <w:tcPr>
            <w:tcW w:type="dxa" w:w="1014"/>
            <w:shd w:val="clear" w:color="auto" w:fill="FFFFFF"/>
          </w:tcPr>
          <w:p>
            <w:r>
              <w:rPr>
                <w:rFonts w:ascii="Times New Roman" w:hAnsi="Times New Roman"/>
                <w:sz w:val="18"/>
              </w:rPr>
              <w:t>0.0073</w:t>
            </w:r>
          </w:p>
        </w:tc>
        <w:tc>
          <w:tcPr>
            <w:tcW w:type="dxa" w:w="1014"/>
            <w:shd w:val="clear" w:color="auto" w:fill="FFFFFF"/>
          </w:tcPr>
          <w:p>
            <w:r>
              <w:rPr>
                <w:rFonts w:ascii="Times New Roman" w:hAnsi="Times New Roman"/>
                <w:sz w:val="18"/>
              </w:rPr>
              <w:t>0.4439</w:t>
            </w:r>
          </w:p>
        </w:tc>
        <w:tc>
          <w:tcPr>
            <w:tcW w:type="dxa" w:w="1014"/>
            <w:shd w:val="clear" w:color="auto" w:fill="FFFFFF"/>
          </w:tcPr>
          <w:p>
            <w:r>
              <w:rPr>
                <w:rFonts w:ascii="Times New Roman" w:hAnsi="Times New Roman"/>
                <w:sz w:val="18"/>
              </w:rPr>
              <w:t>0.0011</w:t>
            </w:r>
          </w:p>
        </w:tc>
        <w:tc>
          <w:tcPr>
            <w:tcW w:type="dxa" w:w="1014"/>
            <w:shd w:val="clear" w:color="auto" w:fill="FFFFFF"/>
          </w:tcPr>
          <w:p>
            <w:r>
              <w:rPr>
                <w:rFonts w:ascii="Times New Roman" w:hAnsi="Times New Roman"/>
                <w:sz w:val="18"/>
              </w:rPr>
              <w:t>0.0105</w:t>
            </w:r>
          </w:p>
        </w:tc>
        <w:tc>
          <w:tcPr>
            <w:tcW w:type="dxa" w:w="1014"/>
            <w:shd w:val="clear" w:color="auto" w:fill="FFFFFF"/>
          </w:tcPr>
          <w:p>
            <w:r>
              <w:rPr>
                <w:rFonts w:ascii="Times New Roman" w:hAnsi="Times New Roman"/>
                <w:sz w:val="18"/>
              </w:rPr>
              <w:t>9.9500</w:t>
            </w:r>
          </w:p>
        </w:tc>
      </w:tr>
      <w:tr>
        <w:tc>
          <w:tcPr>
            <w:tcW w:type="dxa" w:w="1014"/>
            <w:shd w:val="clear" w:color="auto" w:fill="E8F0FE"/>
          </w:tcPr>
          <w:p>
            <w:r>
              <w:rPr>
                <w:rFonts w:ascii="Times New Roman" w:hAnsi="Times New Roman"/>
                <w:sz w:val="18"/>
              </w:rPr>
              <w:t>5.0000</w:t>
            </w:r>
          </w:p>
        </w:tc>
        <w:tc>
          <w:tcPr>
            <w:tcW w:type="dxa" w:w="1014"/>
            <w:shd w:val="clear" w:color="auto" w:fill="E8F0FE"/>
          </w:tcPr>
          <w:p>
            <w:r>
              <w:rPr>
                <w:rFonts w:ascii="Times New Roman" w:hAnsi="Times New Roman"/>
                <w:sz w:val="18"/>
              </w:rPr>
              <w:t>0.0500</w:t>
            </w:r>
          </w:p>
        </w:tc>
        <w:tc>
          <w:tcPr>
            <w:tcW w:type="dxa" w:w="1014"/>
            <w:shd w:val="clear" w:color="auto" w:fill="E8F0FE"/>
          </w:tcPr>
          <w:p>
            <w:r>
              <w:rPr>
                <w:rFonts w:ascii="Times New Roman" w:hAnsi="Times New Roman"/>
                <w:sz w:val="18"/>
              </w:rPr>
              <w:t>0.0737</w:t>
            </w:r>
          </w:p>
        </w:tc>
        <w:tc>
          <w:tcPr>
            <w:tcW w:type="dxa" w:w="1014"/>
            <w:shd w:val="clear" w:color="auto" w:fill="E8F0FE"/>
          </w:tcPr>
          <w:p>
            <w:r>
              <w:rPr>
                <w:rFonts w:ascii="Times New Roman" w:hAnsi="Times New Roman"/>
                <w:sz w:val="18"/>
              </w:rPr>
              <w:t>0.0734</w:t>
            </w:r>
          </w:p>
        </w:tc>
        <w:tc>
          <w:tcPr>
            <w:tcW w:type="dxa" w:w="1014"/>
            <w:shd w:val="clear" w:color="auto" w:fill="E8F0FE"/>
          </w:tcPr>
          <w:p>
            <w:r>
              <w:rPr>
                <w:rFonts w:ascii="Times New Roman" w:hAnsi="Times New Roman"/>
                <w:sz w:val="18"/>
              </w:rPr>
              <w:t>0.0073</w:t>
            </w:r>
          </w:p>
        </w:tc>
        <w:tc>
          <w:tcPr>
            <w:tcW w:type="dxa" w:w="1014"/>
            <w:shd w:val="clear" w:color="auto" w:fill="E8F0FE"/>
          </w:tcPr>
          <w:p>
            <w:r>
              <w:rPr>
                <w:rFonts w:ascii="Times New Roman" w:hAnsi="Times New Roman"/>
                <w:sz w:val="18"/>
              </w:rPr>
              <w:t>0.4438</w:t>
            </w:r>
          </w:p>
        </w:tc>
        <w:tc>
          <w:tcPr>
            <w:tcW w:type="dxa" w:w="1014"/>
            <w:shd w:val="clear" w:color="auto" w:fill="E8F0FE"/>
          </w:tcPr>
          <w:p>
            <w:r>
              <w:rPr>
                <w:rFonts w:ascii="Times New Roman" w:hAnsi="Times New Roman"/>
                <w:sz w:val="18"/>
              </w:rPr>
              <w:t>0.0011</w:t>
            </w:r>
          </w:p>
        </w:tc>
        <w:tc>
          <w:tcPr>
            <w:tcW w:type="dxa" w:w="1014"/>
            <w:shd w:val="clear" w:color="auto" w:fill="E8F0FE"/>
          </w:tcPr>
          <w:p>
            <w:r>
              <w:rPr>
                <w:rFonts w:ascii="Times New Roman" w:hAnsi="Times New Roman"/>
                <w:sz w:val="18"/>
              </w:rPr>
              <w:t>0.0028</w:t>
            </w:r>
          </w:p>
        </w:tc>
        <w:tc>
          <w:tcPr>
            <w:tcW w:type="dxa" w:w="1014"/>
            <w:shd w:val="clear" w:color="auto" w:fill="E8F0FE"/>
          </w:tcPr>
          <w:p>
            <w:r>
              <w:rPr>
                <w:rFonts w:ascii="Times New Roman" w:hAnsi="Times New Roman"/>
                <w:sz w:val="18"/>
              </w:rPr>
              <w:t>10.0300</w:t>
            </w:r>
          </w:p>
        </w:tc>
      </w:tr>
      <w:tr>
        <w:tc>
          <w:tcPr>
            <w:tcW w:type="dxa" w:w="1014"/>
            <w:shd w:val="clear" w:color="auto" w:fill="FFFFFF"/>
          </w:tcPr>
          <w:p>
            <w:r>
              <w:rPr>
                <w:rFonts w:ascii="Times New Roman" w:hAnsi="Times New Roman"/>
                <w:sz w:val="18"/>
              </w:rPr>
              <w:t>1.5000</w:t>
            </w:r>
          </w:p>
        </w:tc>
        <w:tc>
          <w:tcPr>
            <w:tcW w:type="dxa" w:w="1014"/>
            <w:shd w:val="clear" w:color="auto" w:fill="FFFFFF"/>
          </w:tcPr>
          <w:p>
            <w:r>
              <w:rPr>
                <w:rFonts w:ascii="Times New Roman" w:hAnsi="Times New Roman"/>
                <w:sz w:val="18"/>
              </w:rPr>
              <w:t>0.0800</w:t>
            </w:r>
          </w:p>
        </w:tc>
        <w:tc>
          <w:tcPr>
            <w:tcW w:type="dxa" w:w="1014"/>
            <w:shd w:val="clear" w:color="auto" w:fill="FFFFFF"/>
          </w:tcPr>
          <w:p>
            <w:r>
              <w:rPr>
                <w:rFonts w:ascii="Times New Roman" w:hAnsi="Times New Roman"/>
                <w:sz w:val="18"/>
              </w:rPr>
              <w:t>0.1180</w:t>
            </w:r>
          </w:p>
        </w:tc>
        <w:tc>
          <w:tcPr>
            <w:tcW w:type="dxa" w:w="1014"/>
            <w:shd w:val="clear" w:color="auto" w:fill="FFFFFF"/>
          </w:tcPr>
          <w:p>
            <w:r>
              <w:rPr>
                <w:rFonts w:ascii="Times New Roman" w:hAnsi="Times New Roman"/>
                <w:sz w:val="18"/>
              </w:rPr>
              <w:t>0.0456</w:t>
            </w:r>
          </w:p>
        </w:tc>
        <w:tc>
          <w:tcPr>
            <w:tcW w:type="dxa" w:w="1014"/>
            <w:shd w:val="clear" w:color="auto" w:fill="FFFFFF"/>
          </w:tcPr>
          <w:p>
            <w:r>
              <w:rPr>
                <w:rFonts w:ascii="Times New Roman" w:hAnsi="Times New Roman"/>
                <w:sz w:val="18"/>
              </w:rPr>
              <w:t>0.0077</w:t>
            </w:r>
          </w:p>
        </w:tc>
        <w:tc>
          <w:tcPr>
            <w:tcW w:type="dxa" w:w="1014"/>
            <w:shd w:val="clear" w:color="auto" w:fill="FFFFFF"/>
          </w:tcPr>
          <w:p>
            <w:r>
              <w:rPr>
                <w:rFonts w:ascii="Times New Roman" w:hAnsi="Times New Roman"/>
                <w:sz w:val="18"/>
              </w:rPr>
              <w:t>0.4412</w:t>
            </w:r>
          </w:p>
        </w:tc>
        <w:tc>
          <w:tcPr>
            <w:tcW w:type="dxa" w:w="1014"/>
            <w:shd w:val="clear" w:color="auto" w:fill="FFFFFF"/>
          </w:tcPr>
          <w:p>
            <w:r>
              <w:rPr>
                <w:rFonts w:ascii="Times New Roman" w:hAnsi="Times New Roman"/>
                <w:sz w:val="18"/>
              </w:rPr>
              <w:t>0.0007</w:t>
            </w:r>
          </w:p>
        </w:tc>
        <w:tc>
          <w:tcPr>
            <w:tcW w:type="dxa" w:w="1014"/>
            <w:shd w:val="clear" w:color="auto" w:fill="FFFFFF"/>
          </w:tcPr>
          <w:p>
            <w:r>
              <w:rPr>
                <w:rFonts w:ascii="Times New Roman" w:hAnsi="Times New Roman"/>
                <w:sz w:val="18"/>
              </w:rPr>
              <w:t>0.5578</w:t>
            </w:r>
          </w:p>
        </w:tc>
        <w:tc>
          <w:tcPr>
            <w:tcW w:type="dxa" w:w="1014"/>
            <w:shd w:val="clear" w:color="auto" w:fill="FFFFFF"/>
          </w:tcPr>
          <w:p>
            <w:r>
              <w:rPr>
                <w:rFonts w:ascii="Times New Roman" w:hAnsi="Times New Roman"/>
                <w:sz w:val="18"/>
              </w:rPr>
              <w:t>5.9000</w:t>
            </w:r>
          </w:p>
        </w:tc>
      </w:tr>
      <w:tr>
        <w:tc>
          <w:tcPr>
            <w:tcW w:type="dxa" w:w="1014"/>
            <w:shd w:val="clear" w:color="auto" w:fill="E8F0FE"/>
          </w:tcPr>
          <w:p>
            <w:r>
              <w:rPr>
                <w:rFonts w:ascii="Times New Roman" w:hAnsi="Times New Roman"/>
                <w:sz w:val="18"/>
              </w:rPr>
              <w:t>2.0000</w:t>
            </w:r>
          </w:p>
        </w:tc>
        <w:tc>
          <w:tcPr>
            <w:tcW w:type="dxa" w:w="1014"/>
            <w:shd w:val="clear" w:color="auto" w:fill="E8F0FE"/>
          </w:tcPr>
          <w:p>
            <w:r>
              <w:rPr>
                <w:rFonts w:ascii="Times New Roman" w:hAnsi="Times New Roman"/>
                <w:sz w:val="18"/>
              </w:rPr>
              <w:t>0.0800</w:t>
            </w:r>
          </w:p>
        </w:tc>
        <w:tc>
          <w:tcPr>
            <w:tcW w:type="dxa" w:w="1014"/>
            <w:shd w:val="clear" w:color="auto" w:fill="E8F0FE"/>
          </w:tcPr>
          <w:p>
            <w:r>
              <w:rPr>
                <w:rFonts w:ascii="Times New Roman" w:hAnsi="Times New Roman"/>
                <w:sz w:val="18"/>
              </w:rPr>
              <w:t>0.0778</w:t>
            </w:r>
          </w:p>
        </w:tc>
        <w:tc>
          <w:tcPr>
            <w:tcW w:type="dxa" w:w="1014"/>
            <w:shd w:val="clear" w:color="auto" w:fill="E8F0FE"/>
          </w:tcPr>
          <w:p>
            <w:r>
              <w:rPr>
                <w:rFonts w:ascii="Times New Roman" w:hAnsi="Times New Roman"/>
                <w:sz w:val="18"/>
              </w:rPr>
              <w:t>0.0674</w:t>
            </w:r>
          </w:p>
        </w:tc>
        <w:tc>
          <w:tcPr>
            <w:tcW w:type="dxa" w:w="1014"/>
            <w:shd w:val="clear" w:color="auto" w:fill="E8F0FE"/>
          </w:tcPr>
          <w:p>
            <w:r>
              <w:rPr>
                <w:rFonts w:ascii="Times New Roman" w:hAnsi="Times New Roman"/>
                <w:sz w:val="18"/>
              </w:rPr>
              <w:t>0.0075</w:t>
            </w:r>
          </w:p>
        </w:tc>
        <w:tc>
          <w:tcPr>
            <w:tcW w:type="dxa" w:w="1014"/>
            <w:shd w:val="clear" w:color="auto" w:fill="E8F0FE"/>
          </w:tcPr>
          <w:p>
            <w:r>
              <w:rPr>
                <w:rFonts w:ascii="Times New Roman" w:hAnsi="Times New Roman"/>
                <w:sz w:val="18"/>
              </w:rPr>
              <w:t>0.4299</w:t>
            </w:r>
          </w:p>
        </w:tc>
        <w:tc>
          <w:tcPr>
            <w:tcW w:type="dxa" w:w="1014"/>
            <w:shd w:val="clear" w:color="auto" w:fill="E8F0FE"/>
          </w:tcPr>
          <w:p>
            <w:r>
              <w:rPr>
                <w:rFonts w:ascii="Times New Roman" w:hAnsi="Times New Roman"/>
                <w:sz w:val="18"/>
              </w:rPr>
              <w:t>0.0011</w:t>
            </w:r>
          </w:p>
        </w:tc>
        <w:tc>
          <w:tcPr>
            <w:tcW w:type="dxa" w:w="1014"/>
            <w:shd w:val="clear" w:color="auto" w:fill="E8F0FE"/>
          </w:tcPr>
          <w:p>
            <w:r>
              <w:rPr>
                <w:rFonts w:ascii="Times New Roman" w:hAnsi="Times New Roman"/>
                <w:sz w:val="18"/>
              </w:rPr>
              <w:t>0.3293</w:t>
            </w:r>
          </w:p>
        </w:tc>
        <w:tc>
          <w:tcPr>
            <w:tcW w:type="dxa" w:w="1014"/>
            <w:shd w:val="clear" w:color="auto" w:fill="E8F0FE"/>
          </w:tcPr>
          <w:p>
            <w:r>
              <w:rPr>
                <w:rFonts w:ascii="Times New Roman" w:hAnsi="Times New Roman"/>
                <w:sz w:val="18"/>
              </w:rPr>
              <w:t>8.9400</w:t>
            </w:r>
          </w:p>
        </w:tc>
      </w:tr>
      <w:tr>
        <w:tc>
          <w:tcPr>
            <w:tcW w:type="dxa" w:w="1014"/>
            <w:shd w:val="clear" w:color="auto" w:fill="FFFFFF"/>
          </w:tcPr>
          <w:p>
            <w:r>
              <w:rPr>
                <w:rFonts w:ascii="Times New Roman" w:hAnsi="Times New Roman"/>
                <w:sz w:val="18"/>
              </w:rPr>
              <w:t>2.5000</w:t>
            </w:r>
          </w:p>
        </w:tc>
        <w:tc>
          <w:tcPr>
            <w:tcW w:type="dxa" w:w="1014"/>
            <w:shd w:val="clear" w:color="auto" w:fill="FFFFFF"/>
          </w:tcPr>
          <w:p>
            <w:r>
              <w:rPr>
                <w:rFonts w:ascii="Times New Roman" w:hAnsi="Times New Roman"/>
                <w:sz w:val="18"/>
              </w:rPr>
              <w:t>0.0800</w:t>
            </w:r>
          </w:p>
        </w:tc>
        <w:tc>
          <w:tcPr>
            <w:tcW w:type="dxa" w:w="1014"/>
            <w:shd w:val="clear" w:color="auto" w:fill="FFFFFF"/>
          </w:tcPr>
          <w:p>
            <w:r>
              <w:rPr>
                <w:rFonts w:ascii="Times New Roman" w:hAnsi="Times New Roman"/>
                <w:sz w:val="18"/>
              </w:rPr>
              <w:t>0.0660</w:t>
            </w:r>
          </w:p>
        </w:tc>
        <w:tc>
          <w:tcPr>
            <w:tcW w:type="dxa" w:w="1014"/>
            <w:shd w:val="clear" w:color="auto" w:fill="FFFFFF"/>
          </w:tcPr>
          <w:p>
            <w:r>
              <w:rPr>
                <w:rFonts w:ascii="Times New Roman" w:hAnsi="Times New Roman"/>
                <w:sz w:val="18"/>
              </w:rPr>
              <w:t>0.0789</w:t>
            </w:r>
          </w:p>
        </w:tc>
        <w:tc>
          <w:tcPr>
            <w:tcW w:type="dxa" w:w="1014"/>
            <w:shd w:val="clear" w:color="auto" w:fill="FFFFFF"/>
          </w:tcPr>
          <w:p>
            <w:r>
              <w:rPr>
                <w:rFonts w:ascii="Times New Roman" w:hAnsi="Times New Roman"/>
                <w:sz w:val="18"/>
              </w:rPr>
              <w:t>0.0075</w:t>
            </w:r>
          </w:p>
        </w:tc>
        <w:tc>
          <w:tcPr>
            <w:tcW w:type="dxa" w:w="1014"/>
            <w:shd w:val="clear" w:color="auto" w:fill="FFFFFF"/>
          </w:tcPr>
          <w:p>
            <w:r>
              <w:rPr>
                <w:rFonts w:ascii="Times New Roman" w:hAnsi="Times New Roman"/>
                <w:sz w:val="18"/>
              </w:rPr>
              <w:t>0.4270</w:t>
            </w:r>
          </w:p>
        </w:tc>
        <w:tc>
          <w:tcPr>
            <w:tcW w:type="dxa" w:w="1014"/>
            <w:shd w:val="clear" w:color="auto" w:fill="FFFFFF"/>
          </w:tcPr>
          <w:p>
            <w:r>
              <w:rPr>
                <w:rFonts w:ascii="Times New Roman" w:hAnsi="Times New Roman"/>
                <w:sz w:val="18"/>
              </w:rPr>
              <w:t>0.0013</w:t>
            </w:r>
          </w:p>
        </w:tc>
        <w:tc>
          <w:tcPr>
            <w:tcW w:type="dxa" w:w="1014"/>
            <w:shd w:val="clear" w:color="auto" w:fill="FFFFFF"/>
          </w:tcPr>
          <w:p>
            <w:r>
              <w:rPr>
                <w:rFonts w:ascii="Times New Roman" w:hAnsi="Times New Roman"/>
                <w:sz w:val="18"/>
              </w:rPr>
              <w:t>0.2100</w:t>
            </w:r>
          </w:p>
        </w:tc>
        <w:tc>
          <w:tcPr>
            <w:tcW w:type="dxa" w:w="1014"/>
            <w:shd w:val="clear" w:color="auto" w:fill="FFFFFF"/>
          </w:tcPr>
          <w:p>
            <w:r>
              <w:rPr>
                <w:rFonts w:ascii="Times New Roman" w:hAnsi="Times New Roman"/>
                <w:sz w:val="18"/>
              </w:rPr>
              <w:t>10.5400</w:t>
            </w:r>
          </w:p>
        </w:tc>
      </w:tr>
      <w:tr>
        <w:tc>
          <w:tcPr>
            <w:tcW w:type="dxa" w:w="1014"/>
            <w:shd w:val="clear" w:color="auto" w:fill="E8F0FE"/>
          </w:tcPr>
          <w:p>
            <w:r>
              <w:rPr>
                <w:rFonts w:ascii="Times New Roman" w:hAnsi="Times New Roman"/>
                <w:sz w:val="18"/>
              </w:rPr>
              <w:t>3.0000</w:t>
            </w:r>
          </w:p>
        </w:tc>
        <w:tc>
          <w:tcPr>
            <w:tcW w:type="dxa" w:w="1014"/>
            <w:shd w:val="clear" w:color="auto" w:fill="E8F0FE"/>
          </w:tcPr>
          <w:p>
            <w:r>
              <w:rPr>
                <w:rFonts w:ascii="Times New Roman" w:hAnsi="Times New Roman"/>
                <w:sz w:val="18"/>
              </w:rPr>
              <w:t>0.0800</w:t>
            </w:r>
          </w:p>
        </w:tc>
        <w:tc>
          <w:tcPr>
            <w:tcW w:type="dxa" w:w="1014"/>
            <w:shd w:val="clear" w:color="auto" w:fill="E8F0FE"/>
          </w:tcPr>
          <w:p>
            <w:r>
              <w:rPr>
                <w:rFonts w:ascii="Times New Roman" w:hAnsi="Times New Roman"/>
                <w:sz w:val="18"/>
              </w:rPr>
              <w:t>0.0570</w:t>
            </w:r>
          </w:p>
        </w:tc>
        <w:tc>
          <w:tcPr>
            <w:tcW w:type="dxa" w:w="1014"/>
            <w:shd w:val="clear" w:color="auto" w:fill="E8F0FE"/>
          </w:tcPr>
          <w:p>
            <w:r>
              <w:rPr>
                <w:rFonts w:ascii="Times New Roman" w:hAnsi="Times New Roman"/>
                <w:sz w:val="18"/>
              </w:rPr>
              <w:t>0.0911</w:t>
            </w:r>
          </w:p>
        </w:tc>
        <w:tc>
          <w:tcPr>
            <w:tcW w:type="dxa" w:w="1014"/>
            <w:shd w:val="clear" w:color="auto" w:fill="E8F0FE"/>
          </w:tcPr>
          <w:p>
            <w:r>
              <w:rPr>
                <w:rFonts w:ascii="Times New Roman" w:hAnsi="Times New Roman"/>
                <w:sz w:val="18"/>
              </w:rPr>
              <w:t>0.0074</w:t>
            </w:r>
          </w:p>
        </w:tc>
        <w:tc>
          <w:tcPr>
            <w:tcW w:type="dxa" w:w="1014"/>
            <w:shd w:val="clear" w:color="auto" w:fill="E8F0FE"/>
          </w:tcPr>
          <w:p>
            <w:r>
              <w:rPr>
                <w:rFonts w:ascii="Times New Roman" w:hAnsi="Times New Roman"/>
                <w:sz w:val="18"/>
              </w:rPr>
              <w:t>0.4256</w:t>
            </w:r>
          </w:p>
        </w:tc>
        <w:tc>
          <w:tcPr>
            <w:tcW w:type="dxa" w:w="1014"/>
            <w:shd w:val="clear" w:color="auto" w:fill="E8F0FE"/>
          </w:tcPr>
          <w:p>
            <w:r>
              <w:rPr>
                <w:rFonts w:ascii="Times New Roman" w:hAnsi="Times New Roman"/>
                <w:sz w:val="18"/>
              </w:rPr>
              <w:t>0.0015</w:t>
            </w:r>
          </w:p>
        </w:tc>
        <w:tc>
          <w:tcPr>
            <w:tcW w:type="dxa" w:w="1014"/>
            <w:shd w:val="clear" w:color="auto" w:fill="E8F0FE"/>
          </w:tcPr>
          <w:p>
            <w:r>
              <w:rPr>
                <w:rFonts w:ascii="Times New Roman" w:hAnsi="Times New Roman"/>
                <w:sz w:val="18"/>
              </w:rPr>
              <w:t>0.0847</w:t>
            </w:r>
          </w:p>
        </w:tc>
        <w:tc>
          <w:tcPr>
            <w:tcW w:type="dxa" w:w="1014"/>
            <w:shd w:val="clear" w:color="auto" w:fill="E8F0FE"/>
          </w:tcPr>
          <w:p>
            <w:r>
              <w:rPr>
                <w:rFonts w:ascii="Times New Roman" w:hAnsi="Times New Roman"/>
                <w:sz w:val="18"/>
              </w:rPr>
              <w:t>12.2600</w:t>
            </w:r>
          </w:p>
        </w:tc>
      </w:tr>
      <w:tr>
        <w:tc>
          <w:tcPr>
            <w:tcW w:type="dxa" w:w="1014"/>
            <w:shd w:val="clear" w:color="auto" w:fill="FFFFFF"/>
          </w:tcPr>
          <w:p>
            <w:r>
              <w:rPr>
                <w:rFonts w:ascii="Times New Roman" w:hAnsi="Times New Roman"/>
                <w:sz w:val="18"/>
              </w:rPr>
              <w:t>4.0000</w:t>
            </w:r>
          </w:p>
        </w:tc>
        <w:tc>
          <w:tcPr>
            <w:tcW w:type="dxa" w:w="1014"/>
            <w:shd w:val="clear" w:color="auto" w:fill="FFFFFF"/>
          </w:tcPr>
          <w:p>
            <w:r>
              <w:rPr>
                <w:rFonts w:ascii="Times New Roman" w:hAnsi="Times New Roman"/>
                <w:sz w:val="18"/>
              </w:rPr>
              <w:t>0.0800</w:t>
            </w:r>
          </w:p>
        </w:tc>
        <w:tc>
          <w:tcPr>
            <w:tcW w:type="dxa" w:w="1014"/>
            <w:shd w:val="clear" w:color="auto" w:fill="FFFFFF"/>
          </w:tcPr>
          <w:p>
            <w:r>
              <w:rPr>
                <w:rFonts w:ascii="Times New Roman" w:hAnsi="Times New Roman"/>
                <w:sz w:val="18"/>
              </w:rPr>
              <w:t>0.0543</w:t>
            </w:r>
          </w:p>
        </w:tc>
        <w:tc>
          <w:tcPr>
            <w:tcW w:type="dxa" w:w="1014"/>
            <w:shd w:val="clear" w:color="auto" w:fill="FFFFFF"/>
          </w:tcPr>
          <w:p>
            <w:r>
              <w:rPr>
                <w:rFonts w:ascii="Times New Roman" w:hAnsi="Times New Roman"/>
                <w:sz w:val="18"/>
              </w:rPr>
              <w:t>0.0954</w:t>
            </w:r>
          </w:p>
        </w:tc>
        <w:tc>
          <w:tcPr>
            <w:tcW w:type="dxa" w:w="1014"/>
            <w:shd w:val="clear" w:color="auto" w:fill="FFFFFF"/>
          </w:tcPr>
          <w:p>
            <w:r>
              <w:rPr>
                <w:rFonts w:ascii="Times New Roman" w:hAnsi="Times New Roman"/>
                <w:sz w:val="18"/>
              </w:rPr>
              <w:t>0.0074</w:t>
            </w:r>
          </w:p>
        </w:tc>
        <w:tc>
          <w:tcPr>
            <w:tcW w:type="dxa" w:w="1014"/>
            <w:shd w:val="clear" w:color="auto" w:fill="FFFFFF"/>
          </w:tcPr>
          <w:p>
            <w:r>
              <w:rPr>
                <w:rFonts w:ascii="Times New Roman" w:hAnsi="Times New Roman"/>
                <w:sz w:val="18"/>
              </w:rPr>
              <w:t>0.4252</w:t>
            </w:r>
          </w:p>
        </w:tc>
        <w:tc>
          <w:tcPr>
            <w:tcW w:type="dxa" w:w="1014"/>
            <w:shd w:val="clear" w:color="auto" w:fill="FFFFFF"/>
          </w:tcPr>
          <w:p>
            <w:r>
              <w:rPr>
                <w:rFonts w:ascii="Times New Roman" w:hAnsi="Times New Roman"/>
                <w:sz w:val="18"/>
              </w:rPr>
              <w:t>0.0016</w:t>
            </w:r>
          </w:p>
        </w:tc>
        <w:tc>
          <w:tcPr>
            <w:tcW w:type="dxa" w:w="1014"/>
            <w:shd w:val="clear" w:color="auto" w:fill="FFFFFF"/>
          </w:tcPr>
          <w:p>
            <w:r>
              <w:rPr>
                <w:rFonts w:ascii="Times New Roman" w:hAnsi="Times New Roman"/>
                <w:sz w:val="18"/>
              </w:rPr>
              <w:t>0.0403</w:t>
            </w:r>
          </w:p>
        </w:tc>
        <w:tc>
          <w:tcPr>
            <w:tcW w:type="dxa" w:w="1014"/>
            <w:shd w:val="clear" w:color="auto" w:fill="FFFFFF"/>
          </w:tcPr>
          <w:p>
            <w:r>
              <w:rPr>
                <w:rFonts w:ascii="Times New Roman" w:hAnsi="Times New Roman"/>
                <w:sz w:val="18"/>
              </w:rPr>
              <w:t>12.8700</w:t>
            </w:r>
          </w:p>
        </w:tc>
      </w:tr>
      <w:tr>
        <w:tc>
          <w:tcPr>
            <w:tcW w:type="dxa" w:w="1014"/>
            <w:shd w:val="clear" w:color="auto" w:fill="E8F0FE"/>
          </w:tcPr>
          <w:p>
            <w:r>
              <w:rPr>
                <w:rFonts w:ascii="Times New Roman" w:hAnsi="Times New Roman"/>
                <w:sz w:val="18"/>
              </w:rPr>
              <w:t>5.0000</w:t>
            </w:r>
          </w:p>
        </w:tc>
        <w:tc>
          <w:tcPr>
            <w:tcW w:type="dxa" w:w="1014"/>
            <w:shd w:val="clear" w:color="auto" w:fill="E8F0FE"/>
          </w:tcPr>
          <w:p>
            <w:r>
              <w:rPr>
                <w:rFonts w:ascii="Times New Roman" w:hAnsi="Times New Roman"/>
                <w:sz w:val="18"/>
              </w:rPr>
              <w:t>0.0800</w:t>
            </w:r>
          </w:p>
        </w:tc>
        <w:tc>
          <w:tcPr>
            <w:tcW w:type="dxa" w:w="1014"/>
            <w:shd w:val="clear" w:color="auto" w:fill="E8F0FE"/>
          </w:tcPr>
          <w:p>
            <w:r>
              <w:rPr>
                <w:rFonts w:ascii="Times New Roman" w:hAnsi="Times New Roman"/>
                <w:sz w:val="18"/>
              </w:rPr>
              <w:t>0.0527</w:t>
            </w:r>
          </w:p>
        </w:tc>
        <w:tc>
          <w:tcPr>
            <w:tcW w:type="dxa" w:w="1014"/>
            <w:shd w:val="clear" w:color="auto" w:fill="E8F0FE"/>
          </w:tcPr>
          <w:p>
            <w:r>
              <w:rPr>
                <w:rFonts w:ascii="Times New Roman" w:hAnsi="Times New Roman"/>
                <w:sz w:val="18"/>
              </w:rPr>
              <w:t>0.0983</w:t>
            </w:r>
          </w:p>
        </w:tc>
        <w:tc>
          <w:tcPr>
            <w:tcW w:type="dxa" w:w="1014"/>
            <w:shd w:val="clear" w:color="auto" w:fill="E8F0FE"/>
          </w:tcPr>
          <w:p>
            <w:r>
              <w:rPr>
                <w:rFonts w:ascii="Times New Roman" w:hAnsi="Times New Roman"/>
                <w:sz w:val="18"/>
              </w:rPr>
              <w:t>0.0074</w:t>
            </w:r>
          </w:p>
        </w:tc>
        <w:tc>
          <w:tcPr>
            <w:tcW w:type="dxa" w:w="1014"/>
            <w:shd w:val="clear" w:color="auto" w:fill="E8F0FE"/>
          </w:tcPr>
          <w:p>
            <w:r>
              <w:rPr>
                <w:rFonts w:ascii="Times New Roman" w:hAnsi="Times New Roman"/>
                <w:sz w:val="18"/>
              </w:rPr>
              <w:t>0.4248</w:t>
            </w:r>
          </w:p>
        </w:tc>
        <w:tc>
          <w:tcPr>
            <w:tcW w:type="dxa" w:w="1014"/>
            <w:shd w:val="clear" w:color="auto" w:fill="E8F0FE"/>
          </w:tcPr>
          <w:p>
            <w:r>
              <w:rPr>
                <w:rFonts w:ascii="Times New Roman" w:hAnsi="Times New Roman"/>
                <w:sz w:val="18"/>
              </w:rPr>
              <w:t>0.0017</w:t>
            </w:r>
          </w:p>
        </w:tc>
        <w:tc>
          <w:tcPr>
            <w:tcW w:type="dxa" w:w="1014"/>
            <w:shd w:val="clear" w:color="auto" w:fill="E8F0FE"/>
          </w:tcPr>
          <w:p>
            <w:r>
              <w:rPr>
                <w:rFonts w:ascii="Times New Roman" w:hAnsi="Times New Roman"/>
                <w:sz w:val="18"/>
              </w:rPr>
              <w:t>0.0106</w:t>
            </w:r>
          </w:p>
        </w:tc>
        <w:tc>
          <w:tcPr>
            <w:tcW w:type="dxa" w:w="1014"/>
            <w:shd w:val="clear" w:color="auto" w:fill="E8F0FE"/>
          </w:tcPr>
          <w:p>
            <w:r>
              <w:rPr>
                <w:rFonts w:ascii="Times New Roman" w:hAnsi="Times New Roman"/>
                <w:sz w:val="18"/>
              </w:rPr>
              <w:t>13.2700</w:t>
            </w:r>
          </w:p>
        </w:tc>
      </w:tr>
    </w:tbl>
    <w:p/>
    <w:p>
      <w:pPr>
        <w:pStyle w:val="Heading2"/>
        <w:jc w:val="left"/>
      </w:pPr>
      <w:r>
        <w:rPr>
          <w:rFonts w:ascii="Times New Roman" w:hAnsi="Times New Roman"/>
          <w:b/>
          <w:color w:val="000000"/>
          <w:sz w:val="26"/>
        </w:rPr>
        <w:t>13.6 Gobernanza de Overrides y Post-Model Adjustments (PMA)</w:t>
      </w:r>
    </w:p>
    <w:p>
      <w:pPr>
        <w:spacing w:before="0" w:after="120" w:line="360" w:lineRule="exact"/>
        <w:jc w:val="both"/>
      </w:pPr>
      <w:r>
        <w:rPr>
          <w:rFonts w:ascii="Times New Roman" w:hAnsi="Times New Roman"/>
          <w:b w:val="0"/>
          <w:i w:val="0"/>
          <w:sz w:val="24"/>
        </w:rPr>
        <w:t>EBA GL/2017/16 §13 exige un marco formal para los ajustes cualitativos aplicados sobre la salida del modelo estadístico (overrides y Post-Model Adjustments), con criterios de activación, metodología de cálculo, registro de auditoría y aprobación independiente.</w:t>
      </w:r>
    </w:p>
    <w:p>
      <w:pPr>
        <w:spacing w:before="0" w:after="120" w:line="360" w:lineRule="exact"/>
        <w:jc w:val="both"/>
      </w:pPr>
      <w:r>
        <w:rPr>
          <w:rFonts w:ascii="Times New Roman" w:hAnsi="Times New Roman"/>
          <w:b w:val="0"/>
          <w:i w:val="0"/>
          <w:sz w:val="24"/>
        </w:rPr>
        <w:t>Criterios de activación de un PMA:</w:t>
      </w:r>
    </w:p>
    <w:p>
      <w:pPr>
        <w:pStyle w:val="ListBullet"/>
      </w:pPr>
      <w:r>
        <w:rPr>
          <w:rFonts w:ascii="Times New Roman" w:hAnsi="Times New Roman"/>
          <w:b w:val="0"/>
          <w:i w:val="0"/>
          <w:sz w:val="22"/>
        </w:rPr>
        <w:t>Eventos macroeconómicos materiales no capturados por las variables del modelo o por su ventana de entrenamiento (p. ej., un shock de tasas o de desempleo posterior al último reentrenamiento).</w:t>
      </w:r>
    </w:p>
    <w:p>
      <w:pPr>
        <w:pStyle w:val="ListBullet"/>
      </w:pPr>
      <w:r>
        <w:rPr>
          <w:rFonts w:ascii="Times New Roman" w:hAnsi="Times New Roman"/>
          <w:b w:val="0"/>
          <w:i w:val="0"/>
          <w:sz w:val="22"/>
        </w:rPr>
        <w:t>Distorsiones temporales en los datos de entrenamiento (rupturas de serie, cambios de definición operativa, moratorias regulatorias como los programas de deferral observados en la cartera 2020).</w:t>
      </w:r>
    </w:p>
    <w:p>
      <w:pPr>
        <w:pStyle w:val="ListBullet"/>
      </w:pPr>
      <w:r>
        <w:rPr>
          <w:rFonts w:ascii="Times New Roman" w:hAnsi="Times New Roman"/>
          <w:b w:val="0"/>
          <w:i w:val="0"/>
          <w:sz w:val="22"/>
        </w:rPr>
        <w:t>Desvíos sostenidos entre la PD observada y la predicha detectados en el backtesting (Sección 10) que superen los umbrales de alerta temprana de la función de validación, mientras se investiga la causa raíz.</w:t>
      </w:r>
    </w:p>
    <w:p>
      <w:pPr>
        <w:pStyle w:val="ListBullet"/>
      </w:pPr>
      <w:r>
        <w:rPr>
          <w:rFonts w:ascii="Times New Roman" w:hAnsi="Times New Roman"/>
          <w:b w:val="0"/>
          <w:i w:val="0"/>
          <w:sz w:val="22"/>
        </w:rPr>
        <w:t>Cambios regulatorios o de producto que alteren el perfil de riesgo de un segmento antes de que exista historia suficiente para reentrenar el modelo.</w:t>
      </w:r>
    </w:p>
    <w:p>
      <w:pPr>
        <w:jc w:val="center"/>
      </w:pPr>
      <w:r>
        <w:rPr>
          <w:rFonts w:ascii="Times New Roman" w:hAnsi="Times New Roman"/>
          <w:b w:val="0"/>
          <w:i/>
          <w:sz w:val="20"/>
        </w:rPr>
        <w:t>Tabla 15. Umbrales de materialidad y niveles de aprobación de PMA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Pr>
                <w:rFonts w:ascii="Times New Roman" w:hAnsi="Times New Roman"/>
                <w:b/>
                <w:color w:val="FFFFFF"/>
                <w:sz w:val="18"/>
              </w:rPr>
              <w:t>nivel</w:t>
            </w:r>
          </w:p>
        </w:tc>
        <w:tc>
          <w:tcPr>
            <w:tcW w:type="dxa" w:w="2280"/>
            <w:shd w:val="clear" w:color="auto" w:fill="1F4E79"/>
          </w:tcPr>
          <w:p>
            <w:r>
              <w:rPr>
                <w:rFonts w:ascii="Times New Roman" w:hAnsi="Times New Roman"/>
                <w:b/>
                <w:color w:val="FFFFFF"/>
                <w:sz w:val="18"/>
              </w:rPr>
              <w:t>umbral</w:t>
            </w:r>
          </w:p>
        </w:tc>
        <w:tc>
          <w:tcPr>
            <w:tcW w:type="dxa" w:w="2280"/>
            <w:shd w:val="clear" w:color="auto" w:fill="1F4E79"/>
          </w:tcPr>
          <w:p>
            <w:r>
              <w:rPr>
                <w:rFonts w:ascii="Times New Roman" w:hAnsi="Times New Roman"/>
                <w:b/>
                <w:color w:val="FFFFFF"/>
                <w:sz w:val="18"/>
              </w:rPr>
              <w:t>aprobacion</w:t>
            </w:r>
          </w:p>
        </w:tc>
        <w:tc>
          <w:tcPr>
            <w:tcW w:type="dxa" w:w="2280"/>
            <w:shd w:val="clear" w:color="auto" w:fill="1F4E79"/>
          </w:tcPr>
          <w:p>
            <w:r>
              <w:rPr>
                <w:rFonts w:ascii="Times New Roman" w:hAnsi="Times New Roman"/>
                <w:b/>
                <w:color w:val="FFFFFF"/>
                <w:sz w:val="18"/>
              </w:rPr>
              <w:t>trazabilidad</w:t>
            </w:r>
          </w:p>
        </w:tc>
      </w:tr>
      <w:tr>
        <w:tc>
          <w:tcPr>
            <w:tcW w:type="dxa" w:w="2280"/>
            <w:shd w:val="clear" w:color="auto" w:fill="FFFFFF"/>
          </w:tcPr>
          <w:p>
            <w:r>
              <w:rPr>
                <w:rFonts w:ascii="Times New Roman" w:hAnsi="Times New Roman"/>
                <w:sz w:val="18"/>
              </w:rPr>
              <w:t>Informativo</w:t>
            </w:r>
          </w:p>
        </w:tc>
        <w:tc>
          <w:tcPr>
            <w:tcW w:type="dxa" w:w="2280"/>
            <w:shd w:val="clear" w:color="auto" w:fill="FFFFFF"/>
          </w:tcPr>
          <w:p>
            <w:r>
              <w:rPr>
                <w:rFonts w:ascii="Times New Roman" w:hAnsi="Times New Roman"/>
                <w:sz w:val="18"/>
              </w:rPr>
              <w:t>&lt; 1% del ECL de cartera</w:t>
            </w:r>
          </w:p>
        </w:tc>
        <w:tc>
          <w:tcPr>
            <w:tcW w:type="dxa" w:w="2280"/>
            <w:shd w:val="clear" w:color="auto" w:fill="FFFFFF"/>
          </w:tcPr>
          <w:p>
            <w:r>
              <w:rPr>
                <w:rFonts w:ascii="Times New Roman" w:hAnsi="Times New Roman"/>
                <w:sz w:val="18"/>
              </w:rPr>
              <w:t>Función de Validación independiente</w:t>
            </w:r>
          </w:p>
        </w:tc>
        <w:tc>
          <w:tcPr>
            <w:tcW w:type="dxa" w:w="2280"/>
            <w:shd w:val="clear" w:color="auto" w:fill="FFFFFF"/>
          </w:tcPr>
          <w:p>
            <w:r>
              <w:rPr>
                <w:rFonts w:ascii="Times New Roman" w:hAnsi="Times New Roman"/>
                <w:sz w:val="18"/>
              </w:rPr>
              <w:t>Registro en bitácora de PMA con metodología de cálculo y justificación</w:t>
            </w:r>
          </w:p>
        </w:tc>
      </w:tr>
      <w:tr>
        <w:tc>
          <w:tcPr>
            <w:tcW w:type="dxa" w:w="2280"/>
            <w:shd w:val="clear" w:color="auto" w:fill="E8F0FE"/>
          </w:tcPr>
          <w:p>
            <w:r>
              <w:rPr>
                <w:rFonts w:ascii="Times New Roman" w:hAnsi="Times New Roman"/>
                <w:sz w:val="18"/>
              </w:rPr>
              <w:t>Material</w:t>
            </w:r>
          </w:p>
        </w:tc>
        <w:tc>
          <w:tcPr>
            <w:tcW w:type="dxa" w:w="2280"/>
            <w:shd w:val="clear" w:color="auto" w:fill="E8F0FE"/>
          </w:tcPr>
          <w:p>
            <w:r>
              <w:rPr>
                <w:rFonts w:ascii="Times New Roman" w:hAnsi="Times New Roman"/>
                <w:sz w:val="18"/>
              </w:rPr>
              <w:t>&gt;= 5% del ECL de cartera</w:t>
            </w:r>
          </w:p>
        </w:tc>
        <w:tc>
          <w:tcPr>
            <w:tcW w:type="dxa" w:w="2280"/>
            <w:shd w:val="clear" w:color="auto" w:fill="E8F0FE"/>
          </w:tcPr>
          <w:p>
            <w:r>
              <w:rPr>
                <w:rFonts w:ascii="Times New Roman" w:hAnsi="Times New Roman"/>
                <w:sz w:val="18"/>
              </w:rPr>
              <w:t>Comité de Riesgos (aprobación previa a la aplicación)</w:t>
            </w:r>
          </w:p>
        </w:tc>
        <w:tc>
          <w:tcPr>
            <w:tcW w:type="dxa" w:w="2280"/>
            <w:shd w:val="clear" w:color="auto" w:fill="E8F0FE"/>
          </w:tcPr>
          <w:p>
            <w:r>
              <w:rPr>
                <w:rFonts w:ascii="Times New Roman" w:hAnsi="Times New Roman"/>
                <w:sz w:val="18"/>
              </w:rPr>
              <w:t>Expediente completo: memo técnico, evidencia cuantitativa, voto del Comité, plan de reversión</w:t>
            </w:r>
          </w:p>
        </w:tc>
      </w:tr>
    </w:tbl>
    <w:p/>
    <w:p>
      <w:pPr>
        <w:spacing w:before="0" w:after="120" w:line="360" w:lineRule="exact"/>
        <w:jc w:val="both"/>
      </w:pPr>
      <w:r>
        <w:rPr>
          <w:rFonts w:ascii="Times New Roman" w:hAnsi="Times New Roman"/>
          <w:b w:val="0"/>
          <w:i w:val="0"/>
          <w:sz w:val="24"/>
        </w:rPr>
        <w:t>Metodología de cálculo: todo PMA se cuantifica como un ajuste explícito y aditivo sobre el ECL de modelo (nunca como una modificación directa de los parámetros PD/LGD/EAD), de modo que el efecto del ajuste cualitativo sea siempre identificable y reversible de forma independiente.</w:t>
      </w:r>
    </w:p>
    <w:p>
      <w:pPr>
        <w:spacing w:before="0" w:after="120" w:line="360" w:lineRule="exact"/>
        <w:jc w:val="both"/>
      </w:pPr>
      <w:r>
        <w:rPr>
          <w:rFonts w:ascii="Times New Roman" w:hAnsi="Times New Roman"/>
          <w:b w:val="0"/>
          <w:i w:val="0"/>
          <w:sz w:val="24"/>
        </w:rPr>
        <w:t>Vigencia y reversión: un PMA no puede mantenerse vigente por más de 4 trimestres consecutivos sin que la función de validación revise si la causa que lo originó persiste; cumplido el plazo, el ajuste debe revertirse o incorporarse formalmente al modelo mediante reentrenamiento o recalibración.</w:t>
      </w:r>
    </w:p>
    <w:p>
      <w:pPr>
        <w:spacing w:before="0" w:after="120" w:line="360" w:lineRule="exact"/>
        <w:jc w:val="both"/>
      </w:pPr>
      <w:r>
        <w:rPr>
          <w:rFonts w:ascii="Times New Roman" w:hAnsi="Times New Roman"/>
          <w:b w:val="0"/>
          <w:i w:val="0"/>
          <w:sz w:val="24"/>
        </w:rPr>
        <w:t>Registro de auditoría: cada PMA se documenta en un registro estructurado (outputs/tablas/registro_pma_overrides.csv) con, como mínimo, fecha de activación, segmento/cartera afectada, magnitud del ajuste, metodología de cálculo, responsable técnico, instancia aprobatoria y fecha de revisión programada, preservando la trazabilidad exigida por la función de auditoría interna.</w:t>
      </w:r>
    </w:p>
    <w:p>
      <w:r>
        <w:br w:type="page"/>
      </w:r>
    </w:p>
    <w:p>
      <w:pPr>
        <w:pStyle w:val="Heading1"/>
        <w:jc w:val="left"/>
      </w:pPr>
      <w:r>
        <w:rPr>
          <w:rFonts w:ascii="Times New Roman" w:hAnsi="Times New Roman"/>
          <w:b/>
          <w:color w:val="000000"/>
          <w:sz w:val="28"/>
        </w:rPr>
        <w:t>Bibliografía</w:t>
      </w:r>
    </w:p>
    <w:p>
      <w:pPr>
        <w:pStyle w:val="ListParagraph"/>
        <w:spacing w:after="80"/>
        <w:ind w:left="283" w:hanging="283"/>
      </w:pPr>
      <w:r>
        <w:rPr>
          <w:rFonts w:ascii="Times New Roman" w:hAnsi="Times New Roman"/>
          <w:b w:val="0"/>
          <w:i w:val="0"/>
          <w:sz w:val="20"/>
        </w:rPr>
        <w:t>[1] Basel Committee on Banking Supervision (2023). Principles for the Effective Management of Credit Risk.</w:t>
      </w:r>
    </w:p>
    <w:p>
      <w:pPr>
        <w:pStyle w:val="ListParagraph"/>
        <w:spacing w:after="80"/>
        <w:ind w:left="283" w:hanging="283"/>
      </w:pPr>
      <w:r>
        <w:rPr>
          <w:rFonts w:ascii="Times New Roman" w:hAnsi="Times New Roman"/>
          <w:b w:val="0"/>
          <w:i w:val="0"/>
          <w:sz w:val="20"/>
        </w:rPr>
        <w:t>[2] IFRS Foundation (2018). IFRS 9: Financial Instruments – Implementation Guidance.</w:t>
      </w:r>
    </w:p>
    <w:p>
      <w:pPr>
        <w:pStyle w:val="ListParagraph"/>
        <w:spacing w:after="80"/>
        <w:ind w:left="283" w:hanging="283"/>
      </w:pPr>
      <w:r>
        <w:rPr>
          <w:rFonts w:ascii="Times New Roman" w:hAnsi="Times New Roman"/>
          <w:b w:val="0"/>
          <w:i w:val="0"/>
          <w:sz w:val="20"/>
        </w:rPr>
        <w:t>[3] European Banking Authority (2022). Guidelines on PD estimation, LGD, and treatment of defaulted exposures.</w:t>
      </w:r>
    </w:p>
    <w:p>
      <w:pPr>
        <w:pStyle w:val="ListParagraph"/>
        <w:spacing w:after="80"/>
        <w:ind w:left="283" w:hanging="283"/>
      </w:pPr>
      <w:r>
        <w:rPr>
          <w:rFonts w:ascii="Times New Roman" w:hAnsi="Times New Roman"/>
          <w:b w:val="0"/>
          <w:i w:val="0"/>
          <w:sz w:val="20"/>
        </w:rPr>
        <w:t>[4] Thomas, L., Edelman, D., &amp; Crook, J. (2017). Credit Scoring and Its Applications (2nd Ed.). SIAM.</w:t>
      </w:r>
    </w:p>
    <w:p>
      <w:pPr>
        <w:pStyle w:val="ListParagraph"/>
        <w:spacing w:after="80"/>
        <w:ind w:left="283" w:hanging="283"/>
      </w:pPr>
      <w:r>
        <w:rPr>
          <w:rFonts w:ascii="Times New Roman" w:hAnsi="Times New Roman"/>
          <w:b w:val="0"/>
          <w:i w:val="0"/>
          <w:sz w:val="20"/>
        </w:rPr>
        <w:t>[5] Lessmann, S., Baesens, B., Seow, H., &amp; Thomas, L. (2015). Benchmarking State-of-the-Art Classification Algorithms for Credit Scoring. EJOR.</w:t>
      </w:r>
    </w:p>
    <w:p>
      <w:pPr>
        <w:pStyle w:val="ListParagraph"/>
        <w:spacing w:after="80"/>
        <w:ind w:left="283" w:hanging="283"/>
      </w:pPr>
      <w:r>
        <w:rPr>
          <w:rFonts w:ascii="Times New Roman" w:hAnsi="Times New Roman"/>
          <w:b w:val="0"/>
          <w:i w:val="0"/>
          <w:sz w:val="20"/>
        </w:rPr>
        <w:t>[6] European Central Bank (2021). Good Practices for Model Validation and Explainability in IFRS 9.</w:t>
      </w:r>
    </w:p>
    <w:p>
      <w:pPr>
        <w:pStyle w:val="ListParagraph"/>
        <w:spacing w:after="80"/>
        <w:ind w:left="283" w:hanging="283"/>
      </w:pPr>
      <w:r>
        <w:rPr>
          <w:rFonts w:ascii="Times New Roman" w:hAnsi="Times New Roman"/>
          <w:b w:val="0"/>
          <w:i w:val="0"/>
          <w:sz w:val="20"/>
        </w:rPr>
        <w:t>[7] Freddie Mac (2025). Single-Family Loan-Level Dataset User Guide. Release 44.</w:t>
      </w:r>
    </w:p>
    <w:p>
      <w:pPr>
        <w:pStyle w:val="ListParagraph"/>
        <w:spacing w:after="80"/>
        <w:ind w:left="283" w:hanging="283"/>
      </w:pPr>
      <w:r>
        <w:rPr>
          <w:rFonts w:ascii="Times New Roman" w:hAnsi="Times New Roman"/>
          <w:b w:val="0"/>
          <w:i w:val="0"/>
          <w:sz w:val="20"/>
        </w:rPr>
        <w:t>[8] Breiman, L. (2001). Random Forests. Machine Learning, 45(1), 5–32.</w:t>
      </w:r>
    </w:p>
    <w:p>
      <w:pPr>
        <w:pStyle w:val="ListParagraph"/>
        <w:spacing w:after="80"/>
        <w:ind w:left="283" w:hanging="283"/>
      </w:pPr>
      <w:r>
        <w:rPr>
          <w:rFonts w:ascii="Times New Roman" w:hAnsi="Times New Roman"/>
          <w:b w:val="0"/>
          <w:i w:val="0"/>
          <w:sz w:val="20"/>
        </w:rPr>
        <w:t>[9] Chen, T., &amp; Guestrin, C. (2016). XGBoost: A Scalable Tree Boosting System. Proc. 22nd ACM SIGKDD.</w:t>
      </w:r>
    </w:p>
    <w:p>
      <w:pPr>
        <w:pStyle w:val="ListParagraph"/>
        <w:spacing w:after="80"/>
        <w:ind w:left="283" w:hanging="283"/>
      </w:pPr>
      <w:r>
        <w:rPr>
          <w:rFonts w:ascii="Times New Roman" w:hAnsi="Times New Roman"/>
          <w:b w:val="0"/>
          <w:i w:val="0"/>
          <w:sz w:val="20"/>
        </w:rPr>
        <w:t>[10] Ke, G., Meng, Q., et al. (2017). LightGBM: A Highly Efficient Gradient Boosting Decision Tree. NIPS.</w:t>
      </w:r>
    </w:p>
    <w:p>
      <w:pPr>
        <w:pStyle w:val="ListParagraph"/>
        <w:spacing w:after="80"/>
        <w:ind w:left="283" w:hanging="283"/>
      </w:pPr>
      <w:r>
        <w:rPr>
          <w:rFonts w:ascii="Times New Roman" w:hAnsi="Times New Roman"/>
          <w:b w:val="0"/>
          <w:i w:val="0"/>
          <w:sz w:val="20"/>
        </w:rPr>
        <w:t>[12] Banco Central de la República Argentina (2024). Comunicación 'A' 6847: Previsiones Mínimas por Riesgo de Incobrabilidad – Normas NIIF.</w:t>
      </w:r>
    </w:p>
    <w:p>
      <w:pPr>
        <w:pStyle w:val="ListParagraph"/>
        <w:spacing w:after="80"/>
        <w:ind w:left="283" w:hanging="283"/>
      </w:pPr>
      <w:r>
        <w:rPr>
          <w:rFonts w:ascii="Times New Roman" w:hAnsi="Times New Roman"/>
          <w:b w:val="0"/>
          <w:i w:val="0"/>
          <w:sz w:val="20"/>
        </w:rPr>
        <w:t>[13] Freire López, J. (2021). Modelo de Clasificación de Riesgo Crediticio Utilizando Random Forest. Tesis de Maestría, Universidad Internacional SEK.</w:t>
      </w:r>
    </w:p>
    <w:p>
      <w:pPr>
        <w:pStyle w:val="ListParagraph"/>
        <w:spacing w:after="80"/>
        <w:ind w:left="283" w:hanging="283"/>
      </w:pPr>
      <w:r>
        <w:rPr>
          <w:rFonts w:ascii="Times New Roman" w:hAnsi="Times New Roman"/>
          <w:b w:val="0"/>
          <w:i w:val="0"/>
          <w:sz w:val="20"/>
        </w:rPr>
        <w:t>[14] Ghent, A. C., &amp; Kudlyak, M. (2011). Recourse and Residential Mortgage Default. Review of Financial Studies, 24(9), 3139–3186.</w:t>
      </w:r>
    </w:p>
    <w:p>
      <w:pPr>
        <w:pStyle w:val="ListParagraph"/>
        <w:spacing w:after="80"/>
        <w:ind w:left="283" w:hanging="283"/>
      </w:pPr>
      <w:r>
        <w:rPr>
          <w:rFonts w:ascii="Times New Roman" w:hAnsi="Times New Roman"/>
          <w:b w:val="0"/>
          <w:i w:val="0"/>
          <w:sz w:val="20"/>
        </w:rPr>
        <w:t>[15] Elul, R., et al. (2010). What 'Triggers' Mortgage Default? AER, 100(2), 490–494.</w:t>
      </w:r>
    </w:p>
    <w:p>
      <w:pPr>
        <w:pStyle w:val="ListParagraph"/>
        <w:spacing w:after="80"/>
        <w:ind w:left="283" w:hanging="283"/>
      </w:pPr>
      <w:r>
        <w:rPr>
          <w:rFonts w:ascii="Times New Roman" w:hAnsi="Times New Roman"/>
          <w:b w:val="0"/>
          <w:i w:val="0"/>
          <w:sz w:val="20"/>
        </w:rPr>
        <w:t>[16] Lundberg, S. M., &amp; Lee, S. I. (2017). A Unified Approach to Interpreting Model Predictions. NIPS.</w:t>
      </w:r>
    </w:p>
    <w:p>
      <w:pPr>
        <w:pStyle w:val="ListParagraph"/>
        <w:spacing w:after="80"/>
        <w:ind w:left="283" w:hanging="283"/>
      </w:pPr>
      <w:r>
        <w:rPr>
          <w:rFonts w:ascii="Times New Roman" w:hAnsi="Times New Roman"/>
          <w:b w:val="0"/>
          <w:i w:val="0"/>
          <w:sz w:val="20"/>
        </w:rPr>
        <w:t>[17] European Banking Authority (2017). Guidelines on credit institutions' credit risk management practices and accounting for expected credit losses (EBA/GL/2017/16).</w:t>
      </w:r>
    </w:p>
    <w:p>
      <w:pPr>
        <w:pStyle w:val="ListParagraph"/>
        <w:spacing w:after="80"/>
        <w:ind w:left="283" w:hanging="283"/>
      </w:pPr>
      <w:r>
        <w:rPr>
          <w:rFonts w:ascii="Times New Roman" w:hAnsi="Times New Roman"/>
          <w:b w:val="0"/>
          <w:i w:val="0"/>
          <w:sz w:val="20"/>
        </w:rPr>
        <w:t>[18] European Banking Authority (2016). Guidelines on the application of the definition of default under Article 178 of Regulation (EU) No 575/2013 (EBA/GL/2016/07).</w:t>
      </w:r>
    </w:p>
    <w:p>
      <w:pPr>
        <w:pStyle w:val="ListParagraph"/>
        <w:spacing w:after="80"/>
        <w:ind w:left="283" w:hanging="283"/>
      </w:pPr>
      <w:r>
        <w:rPr>
          <w:rFonts w:ascii="Times New Roman" w:hAnsi="Times New Roman"/>
          <w:b w:val="0"/>
          <w:i w:val="0"/>
          <w:sz w:val="20"/>
        </w:rPr>
        <w:t>[19] European Parliament and Council (2013). Regulation (EU) No 575/2013 on prudential requirements for credit institutions and investment firms (Capital Requirements Regulation, CRR).</w:t>
      </w:r>
    </w:p>
    <w:p>
      <w:pPr>
        <w:pStyle w:val="ListParagraph"/>
        <w:spacing w:after="80"/>
        <w:ind w:left="283" w:hanging="283"/>
      </w:pPr>
      <w:r>
        <w:rPr>
          <w:rFonts w:ascii="Times New Roman" w:hAnsi="Times New Roman"/>
          <w:b w:val="0"/>
          <w:i w:val="0"/>
          <w:sz w:val="20"/>
        </w:rPr>
        <w:t>[20] Basel Committee on Banking Supervision (2015). Guidance on credit risk and accounting for expected credit losses (BCBS d350).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