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37326" w14:textId="77777777" w:rsidR="009B27F6" w:rsidRDefault="009B27F6" w:rsidP="009B27F6">
      <w:pPr>
        <w:tabs>
          <w:tab w:val="left" w:pos="1912"/>
        </w:tabs>
      </w:pPr>
      <w:r>
        <w:tab/>
      </w:r>
    </w:p>
    <w:tbl>
      <w:tblPr>
        <w:tblStyle w:val="Tablaconcuadrcula"/>
        <w:tblW w:w="8730" w:type="dxa"/>
        <w:tblInd w:w="108" w:type="dxa"/>
        <w:tblLayout w:type="fixed"/>
        <w:tblLook w:val="04A0" w:firstRow="1" w:lastRow="0" w:firstColumn="1" w:lastColumn="0" w:noHBand="0" w:noVBand="1"/>
      </w:tblPr>
      <w:tblGrid>
        <w:gridCol w:w="3210"/>
        <w:gridCol w:w="5520"/>
      </w:tblGrid>
      <w:tr w:rsidR="009B27F6" w:rsidRPr="009B27F6" w14:paraId="4BAF14FB" w14:textId="77777777" w:rsidTr="000500E3">
        <w:trPr>
          <w:trHeight w:val="1430"/>
        </w:trPr>
        <w:tc>
          <w:tcPr>
            <w:tcW w:w="3210" w:type="dxa"/>
            <w:tcBorders>
              <w:top w:val="nil"/>
              <w:left w:val="nil"/>
              <w:bottom w:val="nil"/>
              <w:right w:val="nil"/>
            </w:tcBorders>
            <w:vAlign w:val="center"/>
          </w:tcPr>
          <w:p w14:paraId="0C753D71" w14:textId="45B47CE4" w:rsidR="009B27F6" w:rsidRDefault="009B27F6" w:rsidP="000500E3">
            <w:pPr>
              <w:pStyle w:val="figuras"/>
            </w:pPr>
          </w:p>
        </w:tc>
        <w:tc>
          <w:tcPr>
            <w:tcW w:w="5519" w:type="dxa"/>
            <w:tcBorders>
              <w:top w:val="nil"/>
              <w:left w:val="nil"/>
              <w:bottom w:val="nil"/>
              <w:right w:val="nil"/>
            </w:tcBorders>
            <w:vAlign w:val="center"/>
          </w:tcPr>
          <w:p w14:paraId="08C2DA37" w14:textId="77777777" w:rsidR="009B27F6" w:rsidRDefault="009B27F6" w:rsidP="000500E3">
            <w:pPr>
              <w:rPr>
                <w:b/>
              </w:rPr>
            </w:pPr>
          </w:p>
          <w:p w14:paraId="71AB1770" w14:textId="1C012DCF" w:rsidR="009B27F6" w:rsidRPr="009B27F6" w:rsidRDefault="009B27F6" w:rsidP="000500E3">
            <w:pPr>
              <w:ind w:left="288"/>
              <w:rPr>
                <w:b/>
                <w:lang w:val="es-ES"/>
              </w:rPr>
            </w:pPr>
          </w:p>
        </w:tc>
      </w:tr>
    </w:tbl>
    <w:p w14:paraId="31A4715A" w14:textId="43D7292D" w:rsidR="00AB17A0" w:rsidRPr="009B27F6" w:rsidRDefault="00AB17A0" w:rsidP="009B27F6">
      <w:pPr>
        <w:tabs>
          <w:tab w:val="left" w:pos="1912"/>
        </w:tabs>
        <w:rPr>
          <w:lang w:val="es-ES"/>
        </w:rPr>
      </w:pPr>
    </w:p>
    <w:p w14:paraId="0C9D47D0" w14:textId="77777777" w:rsidR="00AB17A0" w:rsidRPr="009B27F6" w:rsidRDefault="00000000">
      <w:pPr>
        <w:jc w:val="center"/>
        <w:rPr>
          <w:lang w:val="es-ES"/>
        </w:rPr>
      </w:pPr>
      <w:r>
        <w:rPr>
          <w:rFonts w:ascii="Times New Roman" w:hAnsi="Times New Roman"/>
          <w:b/>
          <w:sz w:val="28"/>
          <w:lang w:val="es-ES"/>
        </w:rPr>
        <w:t>UNIVERSIDAD TECNOLÓGICA NACIONAL</w:t>
      </w:r>
    </w:p>
    <w:p w14:paraId="08D8C04C" w14:textId="77777777" w:rsidR="00AB17A0" w:rsidRPr="009B27F6" w:rsidRDefault="00000000">
      <w:pPr>
        <w:jc w:val="center"/>
        <w:rPr>
          <w:lang w:val="es-ES"/>
        </w:rPr>
      </w:pPr>
      <w:r>
        <w:rPr>
          <w:rFonts w:ascii="Times New Roman" w:hAnsi="Times New Roman"/>
          <w:b/>
          <w:sz w:val="26"/>
          <w:lang w:val="es-ES"/>
        </w:rPr>
        <w:t>FACULTAD REGIONAL PARANÁ</w:t>
      </w:r>
    </w:p>
    <w:p w14:paraId="7E55CCE4" w14:textId="77777777" w:rsidR="00AB17A0" w:rsidRPr="009B27F6" w:rsidRDefault="00AB17A0">
      <w:pPr>
        <w:rPr>
          <w:lang w:val="es-ES"/>
        </w:rPr>
      </w:pPr>
    </w:p>
    <w:p w14:paraId="3CA24A41" w14:textId="77777777" w:rsidR="00AB17A0" w:rsidRPr="009B27F6" w:rsidRDefault="00000000">
      <w:pPr>
        <w:jc w:val="center"/>
        <w:rPr>
          <w:lang w:val="es-ES"/>
        </w:rPr>
      </w:pPr>
      <w:r>
        <w:rPr>
          <w:rFonts w:ascii="Times New Roman" w:hAnsi="Times New Roman"/>
          <w:b/>
          <w:sz w:val="24"/>
          <w:lang w:val="es-ES"/>
        </w:rPr>
        <w:t>PLAN DE TESIS</w:t>
      </w:r>
    </w:p>
    <w:p w14:paraId="39076A2B" w14:textId="77777777" w:rsidR="00AB17A0" w:rsidRPr="009B27F6" w:rsidRDefault="00AB17A0">
      <w:pPr>
        <w:rPr>
          <w:lang w:val="es-ES"/>
        </w:rPr>
      </w:pPr>
    </w:p>
    <w:p w14:paraId="6C80C331" w14:textId="77777777" w:rsidR="00AB17A0" w:rsidRPr="009B27F6" w:rsidRDefault="00AB17A0">
      <w:pPr>
        <w:rPr>
          <w:lang w:val="es-ES"/>
        </w:rPr>
      </w:pPr>
    </w:p>
    <w:p w14:paraId="22CD2B42" w14:textId="77777777" w:rsidR="00AB17A0" w:rsidRPr="009B27F6" w:rsidRDefault="00000000">
      <w:pPr>
        <w:jc w:val="center"/>
        <w:rPr>
          <w:lang w:val="es-ES"/>
        </w:rPr>
      </w:pPr>
      <w:r>
        <w:rPr>
          <w:rFonts w:ascii="Times New Roman" w:hAnsi="Times New Roman"/>
          <w:b/>
          <w:sz w:val="32"/>
          <w:lang w:val="es-ES"/>
        </w:rPr>
        <w:t>Predicción de la Probabilidad de Default bajo el marco regulatorio</w:t>
      </w:r>
      <w:r>
        <w:rPr>
          <w:rFonts w:ascii="Times New Roman" w:hAnsi="Times New Roman"/>
          <w:b/>
          <w:sz w:val="32"/>
          <w:lang w:val="es-ES"/>
        </w:rPr>
        <w:br/>
        <w:t>IFRS 9 utilizando técnicas de aprendizaje automático</w:t>
      </w:r>
      <w:r>
        <w:rPr>
          <w:rFonts w:ascii="Times New Roman" w:hAnsi="Times New Roman"/>
          <w:b/>
          <w:sz w:val="32"/>
          <w:lang w:val="es-ES"/>
        </w:rPr>
        <w:br/>
        <w:t>y datos crediticios abiertos de Freddie Mac</w:t>
      </w:r>
    </w:p>
    <w:p w14:paraId="34015194" w14:textId="77777777" w:rsidR="00AB17A0" w:rsidRPr="009B27F6" w:rsidRDefault="00AB17A0">
      <w:pPr>
        <w:rPr>
          <w:lang w:val="es-ES"/>
        </w:rPr>
      </w:pPr>
    </w:p>
    <w:p w14:paraId="31A362FF" w14:textId="77777777" w:rsidR="00AB17A0" w:rsidRPr="009B27F6" w:rsidRDefault="00AB17A0">
      <w:pPr>
        <w:rPr>
          <w:lang w:val="es-ES"/>
        </w:rPr>
      </w:pPr>
    </w:p>
    <w:p w14:paraId="6419AE5F" w14:textId="77777777" w:rsidR="00AB17A0" w:rsidRPr="009B27F6" w:rsidRDefault="00000000">
      <w:pPr>
        <w:jc w:val="center"/>
        <w:rPr>
          <w:lang w:val="es-ES"/>
        </w:rPr>
      </w:pPr>
      <w:r>
        <w:rPr>
          <w:rFonts w:ascii="Times New Roman" w:hAnsi="Times New Roman"/>
          <w:sz w:val="24"/>
          <w:lang w:val="es-ES"/>
        </w:rPr>
        <w:t>Por: Lic. Sebastián Emiliano Meier</w:t>
      </w:r>
    </w:p>
    <w:p w14:paraId="48435544" w14:textId="77777777" w:rsidR="00AB17A0" w:rsidRPr="009B27F6" w:rsidRDefault="00AB17A0">
      <w:pPr>
        <w:jc w:val="center"/>
        <w:rPr>
          <w:lang w:val="es-ES"/>
        </w:rPr>
      </w:pPr>
    </w:p>
    <w:p w14:paraId="5A2AFAFA" w14:textId="77777777" w:rsidR="00AB17A0" w:rsidRPr="009B27F6" w:rsidRDefault="00000000">
      <w:pPr>
        <w:jc w:val="center"/>
        <w:rPr>
          <w:lang w:val="es-ES"/>
        </w:rPr>
      </w:pPr>
      <w:r>
        <w:rPr>
          <w:rFonts w:ascii="Times New Roman" w:hAnsi="Times New Roman"/>
          <w:b/>
          <w:sz w:val="24"/>
          <w:lang w:val="es-ES"/>
        </w:rPr>
        <w:t>MAESTRÍA EN MINERÍA DE DATOS</w:t>
      </w:r>
    </w:p>
    <w:p w14:paraId="3DEB2A87" w14:textId="77777777" w:rsidR="00AB17A0" w:rsidRPr="009B27F6" w:rsidRDefault="00AB17A0">
      <w:pPr>
        <w:jc w:val="center"/>
        <w:rPr>
          <w:lang w:val="es-ES"/>
        </w:rPr>
      </w:pPr>
    </w:p>
    <w:p w14:paraId="01CB517E" w14:textId="77777777" w:rsidR="00AB17A0" w:rsidRPr="009B27F6" w:rsidRDefault="00000000">
      <w:pPr>
        <w:jc w:val="center"/>
        <w:rPr>
          <w:lang w:val="es-ES"/>
        </w:rPr>
      </w:pPr>
      <w:r>
        <w:rPr>
          <w:rFonts w:ascii="Times New Roman" w:hAnsi="Times New Roman"/>
          <w:sz w:val="24"/>
          <w:lang w:val="es-ES"/>
        </w:rPr>
        <w:t>Director/a: Mag. Ing. Gustavo Denicolay</w:t>
      </w:r>
    </w:p>
    <w:p w14:paraId="7001F715" w14:textId="77777777" w:rsidR="00AB17A0" w:rsidRPr="009B27F6" w:rsidRDefault="00AB17A0">
      <w:pPr>
        <w:jc w:val="center"/>
        <w:rPr>
          <w:lang w:val="es-ES"/>
        </w:rPr>
      </w:pPr>
    </w:p>
    <w:p w14:paraId="1670D632" w14:textId="77777777" w:rsidR="00AB17A0" w:rsidRPr="009B27F6" w:rsidRDefault="00000000">
      <w:pPr>
        <w:jc w:val="center"/>
        <w:rPr>
          <w:lang w:val="es-ES"/>
        </w:rPr>
      </w:pPr>
      <w:r>
        <w:rPr>
          <w:rFonts w:ascii="Times New Roman" w:hAnsi="Times New Roman"/>
          <w:sz w:val="24"/>
          <w:lang w:val="es-ES"/>
        </w:rPr>
        <w:t>Paraná, Argentina</w:t>
      </w:r>
    </w:p>
    <w:p w14:paraId="01D6066C" w14:textId="2D05C1DD" w:rsidR="00AB17A0" w:rsidRPr="009B27F6" w:rsidRDefault="00000000">
      <w:pPr>
        <w:jc w:val="center"/>
        <w:rPr>
          <w:lang w:val="es-ES"/>
        </w:rPr>
      </w:pPr>
      <w:r>
        <w:rPr>
          <w:rFonts w:ascii="Times New Roman" w:hAnsi="Times New Roman"/>
          <w:sz w:val="24"/>
          <w:lang w:val="es-ES"/>
        </w:rPr>
        <w:t>2026</w:t>
      </w:r>
    </w:p>
    <w:p w14:paraId="0AC110F0" w14:textId="77777777" w:rsidR="00AB17A0" w:rsidRPr="009B27F6" w:rsidRDefault="00000000">
      <w:pPr>
        <w:rPr>
          <w:lang w:val="es-ES"/>
        </w:rPr>
      </w:pPr>
      <w:r>
        <w:rPr>
          <w:lang w:val="es-ES"/>
        </w:rPr>
        <w:br w:type="page"/>
      </w:r>
    </w:p>
    <w:p w14:paraId="2BB38768" w14:textId="77777777" w:rsidR="00AB17A0" w:rsidRPr="009B27F6" w:rsidRDefault="00000000">
      <w:pPr>
        <w:pStyle w:val="Ttulo1"/>
        <w:rPr>
          <w:lang w:val="es-ES"/>
        </w:rPr>
      </w:pPr>
      <w:r>
        <w:rPr>
          <w:rFonts w:ascii="Times New Roman" w:hAnsi="Times New Roman"/>
          <w:color w:val="000000"/>
          <w:lang w:val="es-ES"/>
        </w:rPr>
        <w:lastRenderedPageBreak/>
        <w:t>Resumen</w:t>
      </w:r>
    </w:p>
    <w:p w14:paraId="215E5E71" w14:textId="77777777" w:rsidR="00AB17A0" w:rsidRPr="009B27F6" w:rsidRDefault="00000000">
      <w:pPr>
        <w:spacing w:after="120" w:line="360" w:lineRule="exact"/>
        <w:jc w:val="both"/>
        <w:rPr>
          <w:lang w:val="es-ES"/>
        </w:rPr>
      </w:pPr>
      <w:r>
        <w:rPr>
          <w:rFonts w:ascii="Times New Roman" w:hAnsi="Times New Roman"/>
          <w:sz w:val="24"/>
          <w:lang w:val="es-ES"/>
        </w:rPr>
        <w:t>El presente trabajo de tesis desarrolla un modelo predictivo de Probabilidad de Default (PD) conforme al marco regulatorio IFRS 9, aplicando técnicas de aprendizaje automático sobre el dataset público de Freddie Mac Single-Family Loan-Level. El dataset utilizado comprende 400,000 préstamos hipotecarios con un total de 14,603,212 observaciones mensuales, correspondientes a los años de originación 2016 a 2024 (excluyendo 2021 por indisponibilidad de datos). La tasa de default global observada es de 0.83%. Se implementan y comparan tres modelos: Regresión Logística (baseline regulatorio), XGBoost y Random Forest. El modelo final es calibrado bajo el enfoque Point-In-Time (PIT) y se genera una curva de Lifetime PD conforme a IFRS 9. La validación incluye métricas regulatorias (AUC, Gini, KS, PSI, Brier Score) y análisis de explicabilidad con SHAP values.</w:t>
      </w:r>
    </w:p>
    <w:p w14:paraId="3C59CC16" w14:textId="77777777" w:rsidR="00AB17A0" w:rsidRPr="009B27F6" w:rsidRDefault="00000000">
      <w:pPr>
        <w:spacing w:after="120" w:line="360" w:lineRule="exact"/>
        <w:jc w:val="both"/>
        <w:rPr>
          <w:lang w:val="es-ES"/>
        </w:rPr>
      </w:pPr>
      <w:r>
        <w:rPr>
          <w:rFonts w:ascii="Times New Roman" w:hAnsi="Times New Roman"/>
          <w:i/>
          <w:lang w:val="es-ES"/>
        </w:rPr>
        <w:t>Palabras clave: IFRS 9, Probabilidad de Default, Expected Credit Loss, XGBoost, SHAP, Freddie Mac, Machine Learning, Riesgo Crediticio.</w:t>
      </w:r>
    </w:p>
    <w:p w14:paraId="5BF73E92" w14:textId="77777777" w:rsidR="00AB17A0" w:rsidRPr="009B27F6" w:rsidRDefault="00000000">
      <w:pPr>
        <w:rPr>
          <w:lang w:val="es-ES"/>
        </w:rPr>
      </w:pPr>
      <w:r>
        <w:rPr>
          <w:lang w:val="es-ES"/>
        </w:rPr>
        <w:br w:type="page"/>
      </w:r>
    </w:p>
    <w:p w14:paraId="37284FA4" w14:textId="77777777" w:rsidR="00AB17A0" w:rsidRPr="009B27F6" w:rsidRDefault="00000000">
      <w:pPr>
        <w:pStyle w:val="Ttulo1"/>
        <w:rPr>
          <w:lang w:val="es-ES"/>
        </w:rPr>
      </w:pPr>
      <w:r>
        <w:rPr>
          <w:rFonts w:ascii="Times New Roman" w:hAnsi="Times New Roman"/>
          <w:color w:val="000000"/>
          <w:lang w:val="es-ES"/>
        </w:rPr>
        <w:lastRenderedPageBreak/>
        <w:t>1. Fundamentación y Justificación del Tema</w:t>
      </w:r>
    </w:p>
    <w:p w14:paraId="20840FEF" w14:textId="77777777" w:rsidR="00AB17A0" w:rsidRPr="009B27F6" w:rsidRDefault="00000000">
      <w:pPr>
        <w:spacing w:after="120" w:line="360" w:lineRule="exact"/>
        <w:jc w:val="both"/>
        <w:rPr>
          <w:lang w:val="es-ES"/>
        </w:rPr>
      </w:pPr>
      <w:r>
        <w:rPr>
          <w:rFonts w:ascii="Times New Roman" w:hAnsi="Times New Roman"/>
          <w:sz w:val="24"/>
          <w:lang w:val="es-ES"/>
        </w:rPr>
        <w:t>El riesgo de crédito constituye una de las principales fuentes de exposición en las entidades financieras y cooperativas de crédito. En la última década, la regulación contable internacional ha experimentado un cambio radical con la implementación de la Norma Internacional de Información Financiera IFRS 9, que introdujo el enfoque de Expected Credit Loss (ECL). Este modelo requiere que las instituciones estimen de forma prospectiva la Probabilidad de Default (PD), la Pérdida Dada el Default (LGD) y la Exposición al Default (EAD) para calcular las pérdidas esperadas de sus carteras.</w:t>
      </w:r>
    </w:p>
    <w:p w14:paraId="05641700" w14:textId="77777777" w:rsidR="00AB17A0" w:rsidRPr="009B27F6" w:rsidRDefault="00000000">
      <w:pPr>
        <w:spacing w:after="120" w:line="360" w:lineRule="exact"/>
        <w:jc w:val="both"/>
        <w:rPr>
          <w:lang w:val="es-ES"/>
        </w:rPr>
      </w:pPr>
      <w:r>
        <w:rPr>
          <w:rFonts w:ascii="Times New Roman" w:hAnsi="Times New Roman"/>
          <w:sz w:val="24"/>
          <w:lang w:val="es-ES"/>
        </w:rPr>
        <w:t>A diferencia del modelo contable anterior (IAS 39), IFRS 9 exige una aproximación forward-looking, donde la pérdida crediticia esperada incorpora no solo información histórica, sino también condiciones macroeconómicas actuales y proyecciones futuras. Por ello, el desarrollo de modelos predictivos de PD es un aspecto central del cumplimiento normativo y de la gestión prudencial de riesgos.</w:t>
      </w:r>
    </w:p>
    <w:p w14:paraId="6BD2FFF0" w14:textId="77777777" w:rsidR="00AB17A0" w:rsidRPr="009B27F6" w:rsidRDefault="00000000">
      <w:pPr>
        <w:spacing w:after="120" w:line="360" w:lineRule="exact"/>
        <w:jc w:val="both"/>
        <w:rPr>
          <w:lang w:val="es-ES"/>
        </w:rPr>
      </w:pPr>
      <w:r>
        <w:rPr>
          <w:rFonts w:ascii="Times New Roman" w:hAnsi="Times New Roman"/>
          <w:sz w:val="24"/>
          <w:lang w:val="es-ES"/>
        </w:rPr>
        <w:t>En América Latina y particularmente en Argentina, el proceso de adopción de IFRS 9 se encuentra en expansión. El Banco Central de la República Argentina (BCRA) ha avanzado en la convergencia normativa hacia IFRS 9, especialmente para entidades financieras de mayor tamaño, generando una necesidad creciente de profesionales con formación técnica sólida en modelización IFRS 9.</w:t>
      </w:r>
    </w:p>
    <w:p w14:paraId="18B18916" w14:textId="77777777" w:rsidR="00AB17A0" w:rsidRPr="009B27F6" w:rsidRDefault="00000000">
      <w:pPr>
        <w:spacing w:after="120" w:line="360" w:lineRule="exact"/>
        <w:jc w:val="both"/>
        <w:rPr>
          <w:lang w:val="es-ES"/>
        </w:rPr>
      </w:pPr>
      <w:r>
        <w:rPr>
          <w:rFonts w:ascii="Times New Roman" w:hAnsi="Times New Roman"/>
          <w:sz w:val="24"/>
          <w:lang w:val="es-ES"/>
        </w:rPr>
        <w:t>El desarrollo de esta tesis se enmarca en ese contexto: busca contribuir a la literatura aplicada y a la práctica profesional presentando una metodología reproducible para estimar la PD bajo IFRS 9 utilizando datos públicos abiertos del Freddie Mac Single-Family Loan-Level Dataset. El uso de este dataset permite reproducir la estructura de información de una entidad financiera real, incluyendo variables de monto, tasa, LTV, DPD, score crediticio, fechas de pago, eventos de mora y pérdida.</w:t>
      </w:r>
    </w:p>
    <w:p w14:paraId="6DE4BDDF" w14:textId="77777777" w:rsidR="00AB17A0" w:rsidRPr="009B27F6" w:rsidRDefault="00000000">
      <w:pPr>
        <w:rPr>
          <w:lang w:val="es-ES"/>
        </w:rPr>
      </w:pPr>
      <w:r>
        <w:rPr>
          <w:lang w:val="es-ES"/>
        </w:rPr>
        <w:br w:type="page"/>
      </w:r>
    </w:p>
    <w:p w14:paraId="7B550CA5" w14:textId="77777777" w:rsidR="00AB17A0" w:rsidRPr="009B27F6" w:rsidRDefault="00000000">
      <w:pPr>
        <w:pStyle w:val="Ttulo1"/>
        <w:rPr>
          <w:lang w:val="es-ES"/>
        </w:rPr>
      </w:pPr>
      <w:r>
        <w:rPr>
          <w:rFonts w:ascii="Times New Roman" w:hAnsi="Times New Roman"/>
          <w:color w:val="000000"/>
          <w:lang w:val="es-ES"/>
        </w:rPr>
        <w:lastRenderedPageBreak/>
        <w:t>2. Estado del Arte</w:t>
      </w:r>
    </w:p>
    <w:p w14:paraId="08D300DE" w14:textId="77777777" w:rsidR="00AB17A0" w:rsidRPr="009B27F6" w:rsidRDefault="00000000">
      <w:pPr>
        <w:spacing w:after="120" w:line="360" w:lineRule="exact"/>
        <w:jc w:val="both"/>
        <w:rPr>
          <w:lang w:val="es-ES"/>
        </w:rPr>
      </w:pPr>
      <w:r>
        <w:rPr>
          <w:rFonts w:ascii="Times New Roman" w:hAnsi="Times New Roman"/>
          <w:sz w:val="24"/>
          <w:lang w:val="es-ES"/>
        </w:rPr>
        <w:t>El modelado de la Probabilidad de Default (PD) tiene una trayectoria extensa en la gestión del riesgo financiero. Tradicionalmente, las entidades bancarias han utilizado modelos de regresión logística para estimar la probabilidad de incumplimiento, debido a su interpretabilidad, estabilidad y cumplimiento con los requerimientos de explicabilidad establecidos por los supervisores (Thomas, Edelman &amp; Crook, 2017). La regresión logística se consolidó como el estándar de la industria bancaria a partir de los años noventa, tanto por su transparencia estadística como por la facilidad con que sus coeficientes pueden ser auditados por las áreas de validación interna y los organismos supervisores.</w:t>
      </w:r>
    </w:p>
    <w:p w14:paraId="08D300DF" w14:textId="77777777" w:rsidR="00AB17A0" w:rsidRPr="009B27F6" w:rsidRDefault="00000000">
      <w:pPr>
        <w:pStyle w:val="Ttulo2"/>
        <w:rPr>
          <w:lang w:val="es-ES"/>
        </w:rPr>
      </w:pPr>
      <w:r>
        <w:rPr>
          <w:rFonts w:ascii="Times New Roman" w:hAnsi="Times New Roman"/>
          <w:color w:val="000000"/>
          <w:lang w:val="es-ES"/>
        </w:rPr>
        <w:t>2.1 Evolución de los modelos de PD: de IAS 39 a IFRS 9</w:t>
      </w:r>
    </w:p>
    <w:p w14:paraId="08D300E0" w14:textId="0E374E74" w:rsidR="00AB17A0" w:rsidRPr="009B27F6" w:rsidRDefault="00000000">
      <w:pPr>
        <w:spacing w:after="120" w:line="360" w:lineRule="exact"/>
        <w:jc w:val="both"/>
        <w:rPr>
          <w:lang w:val="es-ES"/>
        </w:rPr>
      </w:pPr>
      <w:r>
        <w:rPr>
          <w:rFonts w:ascii="Times New Roman" w:hAnsi="Times New Roman"/>
          <w:sz w:val="24"/>
          <w:lang w:val="es-ES"/>
        </w:rPr>
        <w:t>Bajo el régimen contable anterior (IAS 39), las provisiones por pérdida crediticia se reconocían únicamente cuando existía evidencia objetiva de deterioro</w:t>
      </w:r>
      <w:r w:rsidR="00CD57DF">
        <w:rPr>
          <w:rFonts w:ascii="Times New Roman" w:hAnsi="Times New Roman"/>
          <w:sz w:val="24"/>
          <w:lang w:val="es-ES"/>
        </w:rPr>
        <w:t>,</w:t>
      </w:r>
      <w:r>
        <w:rPr>
          <w:rFonts w:ascii="Times New Roman" w:hAnsi="Times New Roman"/>
          <w:sz w:val="24"/>
          <w:lang w:val="es-ES"/>
        </w:rPr>
        <w:t xml:space="preserve"> el denominado modelo de “pérdida incurrida” (incurred loss), lo cual fue ampliamente criticado por su carácter procíclico: las provisiones se reconocían tardíamente, agravando las crisis financieras al obligar a las entidades a constituir reservas masivas justo cuando su capacidad para absorber pérdidas era menor (IFRS Foundation, 2018). La crisis financiera global de 2007–2009 evidenció de forma dramática esta debilidad, y el G20 instó al International Accounting Standards Board (IASB) a desarrollar un modelo forward-</w:t>
      </w:r>
      <w:proofErr w:type="spellStart"/>
      <w:r>
        <w:rPr>
          <w:rFonts w:ascii="Times New Roman" w:hAnsi="Times New Roman"/>
          <w:sz w:val="24"/>
          <w:lang w:val="es-ES"/>
        </w:rPr>
        <w:t>looking</w:t>
      </w:r>
      <w:proofErr w:type="spellEnd"/>
      <w:r>
        <w:rPr>
          <w:rFonts w:ascii="Times New Roman" w:hAnsi="Times New Roman"/>
          <w:sz w:val="24"/>
          <w:lang w:val="es-ES"/>
        </w:rPr>
        <w:t xml:space="preserve"> de pérdidas esperadas.</w:t>
      </w:r>
    </w:p>
    <w:p w14:paraId="08D300E1" w14:textId="65F74A88" w:rsidR="00AB17A0" w:rsidRPr="009B27F6" w:rsidRDefault="00000000">
      <w:pPr>
        <w:spacing w:after="120" w:line="360" w:lineRule="exact"/>
        <w:jc w:val="both"/>
        <w:rPr>
          <w:lang w:val="es-ES"/>
        </w:rPr>
      </w:pPr>
      <w:r>
        <w:rPr>
          <w:rFonts w:ascii="Times New Roman" w:hAnsi="Times New Roman"/>
          <w:sz w:val="24"/>
          <w:lang w:val="es-ES"/>
        </w:rPr>
        <w:t>IFRS 9 vigente desde enero de 2018 reemplazó el enfoque de pérdida incurrida por el modelo de Expected Credit Loss (ECL), que exige estimar las pérdidas crediticias de forma prospectiva desde el momento del reconocimiento inicial del activo financiero. Esto implica que los modelos de PD deben ser Point-In-Time (PIT), es decir, sensibles al estado actual del ciclo económico y a las condiciones macroeconómicas proyectadas, en contraste con los modelos Through-The-Cycle (TTC) que dominaban bajo Basilea II y III, orientados a la estabilidad de largo plazo del capital regulatorio (Basel Committee on Banking Supervision, 2023).</w:t>
      </w:r>
    </w:p>
    <w:p w14:paraId="08D300E2" w14:textId="77777777" w:rsidR="00AB17A0" w:rsidRPr="009B27F6" w:rsidRDefault="00000000">
      <w:pPr>
        <w:spacing w:after="120" w:line="360" w:lineRule="exact"/>
        <w:jc w:val="both"/>
        <w:rPr>
          <w:lang w:val="es-ES"/>
        </w:rPr>
      </w:pPr>
      <w:r>
        <w:rPr>
          <w:rFonts w:ascii="Times New Roman" w:hAnsi="Times New Roman"/>
          <w:sz w:val="24"/>
          <w:lang w:val="es-ES"/>
        </w:rPr>
        <w:t>La transición de TTC a PIT tiene implicaciones metodológicas profundas. Mientras que un modelo TTC suaviza la PD promediándola a lo largo del ciclo económico, un modelo PIT debe reflejar el estado actual de la economía y, en el caso de Stage 2, proyectar la PD a lo largo de toda la vida residual del crédito (Lifetime PD). Este requerimiento ha impulsado el desarrollo de estructuras de término de PD (PD term structures), curvas de supervivencia y modelos de migración de stages que capturan la dinámica temporal del deterioro crediticio (European Central Bank, 2021).</w:t>
      </w:r>
    </w:p>
    <w:p w14:paraId="08D300E3" w14:textId="77777777" w:rsidR="00AB17A0" w:rsidRPr="009B27F6" w:rsidRDefault="00000000">
      <w:pPr>
        <w:spacing w:after="120" w:line="360" w:lineRule="exact"/>
        <w:jc w:val="both"/>
        <w:rPr>
          <w:lang w:val="es-ES"/>
        </w:rPr>
      </w:pPr>
      <w:r>
        <w:rPr>
          <w:rFonts w:ascii="Times New Roman" w:hAnsi="Times New Roman"/>
          <w:sz w:val="24"/>
          <w:lang w:val="es-ES"/>
        </w:rPr>
        <w:lastRenderedPageBreak/>
        <w:t>Además, IFRS 9 introduce el concepto de Significant Increase in Credit Risk (SICR) para determinar la migración entre Stage 1 y Stage 2, lo que requiere que los modelos de PD sean capaces de detectar cambios incrementales en el perfil de riesgo del deudor. Las guías de la European Banking Authority (EBA, 2022) establecen que la PD debe estimarse a nivel de facilidad crediticia, incorporando información tanto cuantitativa (días en mora, score crediticio, LTV) como cualitativa (cambios en la situación laboral, condiciones sectoriales), y que el modelo debe ser validado mediante métricas de discriminación, calibración y estabilidad.</w:t>
      </w:r>
    </w:p>
    <w:p w14:paraId="08D300E4" w14:textId="77777777" w:rsidR="00AB17A0" w:rsidRPr="009B27F6" w:rsidRDefault="00000000">
      <w:pPr>
        <w:pStyle w:val="Ttulo2"/>
        <w:rPr>
          <w:lang w:val="es-ES"/>
        </w:rPr>
      </w:pPr>
      <w:r>
        <w:rPr>
          <w:rFonts w:ascii="Times New Roman" w:hAnsi="Times New Roman"/>
          <w:color w:val="000000"/>
          <w:lang w:val="es-ES"/>
        </w:rPr>
        <w:t>2.2 Machine Learning aplicado a la modelización de PD bajo IFRS 9</w:t>
      </w:r>
    </w:p>
    <w:p w14:paraId="08D300E5" w14:textId="3FFCFA49" w:rsidR="00AB17A0" w:rsidRPr="009B27F6" w:rsidRDefault="00000000">
      <w:pPr>
        <w:spacing w:after="120" w:line="360" w:lineRule="exact"/>
        <w:jc w:val="both"/>
        <w:rPr>
          <w:lang w:val="es-ES"/>
        </w:rPr>
      </w:pPr>
      <w:r>
        <w:rPr>
          <w:rFonts w:ascii="Times New Roman" w:hAnsi="Times New Roman"/>
          <w:sz w:val="24"/>
          <w:lang w:val="es-ES"/>
        </w:rPr>
        <w:t xml:space="preserve">El cambio de paradigma que supone IFRS 9 ha impulsado una nueva generación de modelos predictivos. Lessmann, Baesens, Seow y Thomas (2015) realizaron un benchmark exhaustivo de algoritmos de clasificación para credit scoring, demostrando que los métodos de ensemble en particular Random </w:t>
      </w:r>
      <w:proofErr w:type="spellStart"/>
      <w:r>
        <w:rPr>
          <w:rFonts w:ascii="Times New Roman" w:hAnsi="Times New Roman"/>
          <w:sz w:val="24"/>
          <w:lang w:val="es-ES"/>
        </w:rPr>
        <w:t>Forests</w:t>
      </w:r>
      <w:proofErr w:type="spellEnd"/>
      <w:r>
        <w:rPr>
          <w:rFonts w:ascii="Times New Roman" w:hAnsi="Times New Roman"/>
          <w:sz w:val="24"/>
          <w:lang w:val="es-ES"/>
        </w:rPr>
        <w:t xml:space="preserve"> (Breiman, 2001) y </w:t>
      </w:r>
      <w:proofErr w:type="spellStart"/>
      <w:r>
        <w:rPr>
          <w:rFonts w:ascii="Times New Roman" w:hAnsi="Times New Roman"/>
          <w:sz w:val="24"/>
          <w:lang w:val="es-ES"/>
        </w:rPr>
        <w:t>Gradient</w:t>
      </w:r>
      <w:proofErr w:type="spellEnd"/>
      <w:r>
        <w:rPr>
          <w:rFonts w:ascii="Times New Roman" w:hAnsi="Times New Roman"/>
          <w:sz w:val="24"/>
          <w:lang w:val="es-ES"/>
        </w:rPr>
        <w:t xml:space="preserve"> </w:t>
      </w:r>
      <w:proofErr w:type="spellStart"/>
      <w:r>
        <w:rPr>
          <w:rFonts w:ascii="Times New Roman" w:hAnsi="Times New Roman"/>
          <w:sz w:val="24"/>
          <w:lang w:val="es-ES"/>
        </w:rPr>
        <w:t>Boosting</w:t>
      </w:r>
      <w:proofErr w:type="spellEnd"/>
      <w:r>
        <w:rPr>
          <w:rFonts w:ascii="Times New Roman" w:hAnsi="Times New Roman"/>
          <w:sz w:val="24"/>
          <w:lang w:val="es-ES"/>
        </w:rPr>
        <w:t xml:space="preserve"> Machines superan consistentemente a la regresión logística en capacidad discriminante, medida por AUC. Posteriormente, Chen y Guestrin (2016) presentaron XGBoost, un framework de boosting escalable que se convirtió rápidamente en el algoritmo dominante en competencias de machine learning y en aplicaciones industriales de riesgo de crédito. De forma complementaria, Ke, Meng et al. (2017) desarrollaron LightGBM, optimizado para grandes volúmenes de datos y con mejoras en velocidad de entrenamiento.</w:t>
      </w:r>
    </w:p>
    <w:p w14:paraId="08D300E6" w14:textId="03466317" w:rsidR="00AB17A0" w:rsidRPr="009B27F6" w:rsidRDefault="00000000">
      <w:pPr>
        <w:spacing w:after="120" w:line="360" w:lineRule="exact"/>
        <w:jc w:val="both"/>
        <w:rPr>
          <w:lang w:val="es-ES"/>
        </w:rPr>
      </w:pPr>
      <w:r>
        <w:rPr>
          <w:rFonts w:ascii="Times New Roman" w:hAnsi="Times New Roman"/>
          <w:sz w:val="24"/>
          <w:lang w:val="es-ES"/>
        </w:rPr>
        <w:t>No obstante, la adopción de modelos de machine learning en el contexto regulatorio de IFRS 9 enfrenta un desafío crítico: la explicabilidad. Los organismos supervisores incluyendo la EBA, el Banco Central Europeo (BCE) y el BCBS exigen que los modelos de riesgo crediticio sean comprensibles, auditables y gobernables (European Central Bank, 2021). Los modelos de caja negra, por sí solos, no satisfacen estos requisitos. La solución adoptada por la literatura reciente consiste en complementar los modelos de alta capacidad predictiva con herramientas de interpretación post-hoc, entre las cuales destacan SHAP values (Lundberg &amp; Lee, 2017) y LIME. SHAP, basado en los valores de Shapley de la teoría de juegos cooperativos, permite descomponer la predicción de cada observación en contribuciones individuales de cada variable, proporcionando explicabilidad tanto a nivel global como local.</w:t>
      </w:r>
    </w:p>
    <w:p w14:paraId="08D300E7" w14:textId="77777777" w:rsidR="00AB17A0" w:rsidRPr="009B27F6" w:rsidRDefault="00000000">
      <w:pPr>
        <w:spacing w:after="120" w:line="360" w:lineRule="exact"/>
        <w:jc w:val="both"/>
        <w:rPr>
          <w:lang w:val="es-ES"/>
        </w:rPr>
      </w:pPr>
      <w:r>
        <w:rPr>
          <w:rFonts w:ascii="Times New Roman" w:hAnsi="Times New Roman"/>
          <w:sz w:val="24"/>
          <w:lang w:val="es-ES"/>
        </w:rPr>
        <w:t xml:space="preserve">En la práctica bancaria actual, se ha consolidado un enfoque híbrido denominado “challenger-champion”: la regresión logística se mantiene como modelo de referencia regulatorio (champion), mientras que modelos de machine learning como XGBoost o Random Forest actúan como modelos challenger que alimentan la validación cruzada, la identificación de variables relevantes y, en algunos casos, la calibración final de la PD. Este esquema permite a </w:t>
      </w:r>
      <w:r>
        <w:rPr>
          <w:rFonts w:ascii="Times New Roman" w:hAnsi="Times New Roman"/>
          <w:sz w:val="24"/>
          <w:lang w:val="es-ES"/>
        </w:rPr>
        <w:lastRenderedPageBreak/>
        <w:t>las entidades beneficiarse de la mayor capacidad predictiva del machine learning sin comprometer la gobernanza regulatoria.</w:t>
      </w:r>
    </w:p>
    <w:p w14:paraId="08D300E8" w14:textId="77777777" w:rsidR="00AB17A0" w:rsidRPr="009B27F6" w:rsidRDefault="00000000">
      <w:pPr>
        <w:pStyle w:val="Ttulo2"/>
        <w:rPr>
          <w:lang w:val="es-ES"/>
        </w:rPr>
      </w:pPr>
      <w:r>
        <w:rPr>
          <w:rFonts w:ascii="Times New Roman" w:hAnsi="Times New Roman"/>
          <w:color w:val="000000"/>
          <w:lang w:val="es-ES"/>
        </w:rPr>
        <w:t>2.3 Low Default Portfolios (LDP): definición, problemática y aplicabilidad al presente estudio</w:t>
      </w:r>
    </w:p>
    <w:p w14:paraId="08D300E9" w14:textId="77777777" w:rsidR="00AB17A0" w:rsidRPr="009B27F6" w:rsidRDefault="00000000">
      <w:pPr>
        <w:spacing w:after="120" w:line="360" w:lineRule="exact"/>
        <w:jc w:val="both"/>
        <w:rPr>
          <w:lang w:val="es-ES"/>
        </w:rPr>
      </w:pPr>
      <w:r>
        <w:rPr>
          <w:rFonts w:ascii="Times New Roman" w:hAnsi="Times New Roman"/>
          <w:sz w:val="24"/>
          <w:lang w:val="es-ES"/>
        </w:rPr>
        <w:t>Un aspecto relevante en la literatura sobre modelización de PD bajo IFRS 9 es la problemática de los Low Default Portfolios (LDP), también denominados “carteras de baja morosidad”. El término LDP hace referencia a segmentos de cartera donde los eventos de default son tan infrecuentes que las técnicas estadísticas convencionales de estimación de PD resultan poco fiables o directamente inaplicables. El Basel Committee on Banking Supervision (BCBS) y la EBA han identificado esta problemática como uno de los desafíos centrales en la implementación del enfoque IRB (Internal Ratings-Based) de Basilea y, por extensión, de IFRS 9 (EBA, 2022).</w:t>
      </w:r>
    </w:p>
    <w:p w14:paraId="08D300EA" w14:textId="39EBDFB0" w:rsidR="00AB17A0" w:rsidRPr="009B27F6" w:rsidRDefault="00000000">
      <w:pPr>
        <w:spacing w:after="120" w:line="360" w:lineRule="exact"/>
        <w:jc w:val="both"/>
        <w:rPr>
          <w:lang w:val="es-ES"/>
        </w:rPr>
      </w:pPr>
      <w:r>
        <w:rPr>
          <w:rFonts w:ascii="Times New Roman" w:hAnsi="Times New Roman"/>
          <w:sz w:val="24"/>
          <w:lang w:val="es-ES"/>
        </w:rPr>
        <w:t>Los LDP se presentan típicamente en carteras de exposiciones soberanas, instituciones financieras, grandes corporaciones, financiamiento de proyectos y specialized lending, donde el número de contrapartes es reducido y los eventos de default son extremadamente raros frecuentemente menos de 20 o 30 defaults observados en una ventana de 10 años. En estas condiciones, los intervalos de confianza de la PD estimada son excesivamente amplios, la capacidad discriminante del modelo (AUC/Gini) no puede evaluarse de forma robusta, y los tests estadísticos de calibración carecen de potencia suficiente (Pluto &amp; Tasche, 2006). La EBA recomienda en estos casos el uso de técnicas alternativas como: ajustes bayesianos, mapeo a calificaciones externas (agencias de rating), pooling de datos con carteras similares de otras entidades, y la aplicación de márgenes de conservadurismo (floors) sobre la PD estimada.</w:t>
      </w:r>
    </w:p>
    <w:p w14:paraId="08D300EB" w14:textId="462ED893" w:rsidR="00AB17A0" w:rsidRPr="009B27F6" w:rsidRDefault="00000000">
      <w:pPr>
        <w:spacing w:after="120" w:line="360" w:lineRule="exact"/>
        <w:jc w:val="both"/>
        <w:rPr>
          <w:lang w:val="es-ES"/>
        </w:rPr>
      </w:pPr>
      <w:r>
        <w:rPr>
          <w:rFonts w:ascii="Times New Roman" w:hAnsi="Times New Roman"/>
          <w:sz w:val="24"/>
          <w:lang w:val="es-ES"/>
        </w:rPr>
        <w:t>Es fundamental señalar que el dataset utilizado en la presente tesis no constituye un Low Default Portfolio. El Freddie Mac Single-Family Loan-Level Dataset comprende 400,000 préstamos hipotecarios con 14,603,212 observaciones mensuales, y registra 121,681 observaciones en Stage 3 (default), correspondientes a una tasa de default global del 0.83% y una tasa de default a 12 meses del 1.22%. Si bien la tasa de default es baja en términos absolutos lo cual es consistente con el comportamiento típico de carteras hipotecarias retail de alta calidad crediticia, el volumen de eventos de default es suficientemente elevado (más de 120,000 observaciones en default) para permitir la estimación estadística robusta de la PD mediante técnicas convencionales de regresión y machine learning.</w:t>
      </w:r>
    </w:p>
    <w:p w14:paraId="08D300EC" w14:textId="77777777" w:rsidR="00AB17A0" w:rsidRPr="009B27F6" w:rsidRDefault="00000000">
      <w:pPr>
        <w:spacing w:after="120" w:line="360" w:lineRule="exact"/>
        <w:jc w:val="both"/>
        <w:rPr>
          <w:lang w:val="es-ES"/>
        </w:rPr>
      </w:pPr>
      <w:r>
        <w:rPr>
          <w:rFonts w:ascii="Times New Roman" w:hAnsi="Times New Roman"/>
          <w:sz w:val="24"/>
          <w:lang w:val="es-ES"/>
        </w:rPr>
        <w:t xml:space="preserve">En consecuencia, las técnicas específicas de LDP (ajustes bayesianos, floors regulatorios, pooling externo) no son necesarias ni aplicables al presente trabajo. La cartera analizada </w:t>
      </w:r>
      <w:r>
        <w:rPr>
          <w:rFonts w:ascii="Times New Roman" w:hAnsi="Times New Roman"/>
          <w:sz w:val="24"/>
          <w:lang w:val="es-ES"/>
        </w:rPr>
        <w:lastRenderedPageBreak/>
        <w:t>corresponde a la clase de activo “retail – hipotecario residencial” bajo la taxonomía de Basilea, donde la gran cantidad de exposiciones homogéneas y la disponibilidad de datos de performance mensual permiten la construcción de modelos estadísticos con poder discriminante robusto. No obstante, la distinción LDP / non-LDP es conceptualmente importante para el lector de esta tesis, ya que determina la viabilidad metodológica del enfoque de modelización adoptado y justifica la elección de técnicas de machine learning que requieren volúmenes significativos de datos de entrenamiento.</w:t>
      </w:r>
    </w:p>
    <w:p w14:paraId="08D300ED" w14:textId="77777777" w:rsidR="00AB17A0" w:rsidRPr="009B27F6" w:rsidRDefault="00000000">
      <w:pPr>
        <w:pStyle w:val="Ttulo2"/>
        <w:rPr>
          <w:lang w:val="es-ES"/>
        </w:rPr>
      </w:pPr>
      <w:r>
        <w:rPr>
          <w:rFonts w:ascii="Times New Roman" w:hAnsi="Times New Roman"/>
          <w:color w:val="000000"/>
          <w:lang w:val="es-ES"/>
        </w:rPr>
        <w:t>2.4 Estudios previos con datos de Freddie Mac y antecedentes directos</w:t>
      </w:r>
    </w:p>
    <w:p w14:paraId="08D300EE" w14:textId="77777777" w:rsidR="00AB17A0" w:rsidRPr="009B27F6" w:rsidRDefault="00000000">
      <w:pPr>
        <w:spacing w:after="120" w:line="360" w:lineRule="exact"/>
        <w:jc w:val="both"/>
        <w:rPr>
          <w:lang w:val="es-ES"/>
        </w:rPr>
      </w:pPr>
      <w:r>
        <w:rPr>
          <w:rFonts w:ascii="Times New Roman" w:hAnsi="Times New Roman"/>
          <w:sz w:val="24"/>
          <w:lang w:val="es-ES"/>
        </w:rPr>
        <w:t>Los datasets públicos de Freddie Mac y Fannie Mae han sido ampliamente utilizados en la literatura académica para el estudio del riesgo hipotecario. Ghent y Kudlyak (2011) analizaron el efecto del recurso legal (recourse) sobre las tasas de default hipotecario, encontrando que los estados con legislación de recurso presentan tasas de incumplimiento significativamente menores. Elul et al. (2010) estudiaron los factores desencadenantes (triggers) del default hipotecario, concluyendo que tanto el patrimonio neto negativo (negative equity) como los shocks de liquidez del deudor son determinantes críticos. Estos trabajos utilizaron enfoques econométricos tradicionales sin el marco regulatorio de IFRS 9.</w:t>
      </w:r>
    </w:p>
    <w:p w14:paraId="08D300EF" w14:textId="77777777" w:rsidR="00AB17A0" w:rsidRPr="009B27F6" w:rsidRDefault="00000000">
      <w:pPr>
        <w:spacing w:after="120" w:line="360" w:lineRule="exact"/>
        <w:jc w:val="both"/>
        <w:rPr>
          <w:lang w:val="es-ES"/>
        </w:rPr>
      </w:pPr>
      <w:r>
        <w:rPr>
          <w:rFonts w:ascii="Times New Roman" w:hAnsi="Times New Roman"/>
          <w:sz w:val="24"/>
          <w:lang w:val="es-ES"/>
        </w:rPr>
        <w:t>En el ámbito latinoamericano, Freire López (2021) desarrolló un modelo de clasificación de riesgo crediticio utilizando Random Forest, contribuyendo a la literatura regional sobre aplicación de machine learning en riesgo de crédito, aunque sin enmarcar su trabajo dentro de los requerimientos específicos de IFRS 9. En Argentina, el Banco Central (BCRA) avanza en la convergencia normativa hacia NIIF 9 mediante la Comunicación “A” 6847 (2024), lo que genera una necesidad creciente de metodologías aplicadas que demuestren la viabilidad de estos modelos en el contexto local.</w:t>
      </w:r>
    </w:p>
    <w:p w14:paraId="2DB602A1" w14:textId="77777777" w:rsidR="00AB17A0" w:rsidRPr="009B27F6" w:rsidRDefault="00000000">
      <w:pPr>
        <w:spacing w:after="120" w:line="360" w:lineRule="exact"/>
        <w:jc w:val="both"/>
        <w:rPr>
          <w:lang w:val="es-ES"/>
        </w:rPr>
      </w:pPr>
      <w:r>
        <w:rPr>
          <w:rFonts w:ascii="Times New Roman" w:hAnsi="Times New Roman"/>
          <w:sz w:val="24"/>
          <w:lang w:val="es-ES"/>
        </w:rPr>
        <w:t>El presente trabajo se diferencia de los antecedentes mencionados en tres aspectos fundamentales: primero, combina explícitamente el marco regulatorio IFRS 9 (definición de default, clasificación de stages, calibración PIT, curva Lifetime PD) con una implementación de machine learning reproducible y explicable; segundo, utiliza un dataset público de gran escala que no presenta las limitaciones de un LDP, permitiendo la validación estadística robusta de los modelos; y tercero, documenta de forma completa y abierta cada etapa del pipeline analítico, contribuyendo tanto a la literatura académica como a la práctica profesional de la gestión de riesgo crediticio en la región.</w:t>
      </w:r>
    </w:p>
    <w:p w14:paraId="3A8FA950" w14:textId="77777777" w:rsidR="00AB17A0" w:rsidRPr="009B27F6" w:rsidRDefault="00000000">
      <w:pPr>
        <w:rPr>
          <w:lang w:val="es-ES"/>
        </w:rPr>
      </w:pPr>
      <w:r>
        <w:rPr>
          <w:lang w:val="es-ES"/>
        </w:rPr>
        <w:br w:type="page"/>
      </w:r>
    </w:p>
    <w:p w14:paraId="345F3F33" w14:textId="77777777" w:rsidR="00AB17A0" w:rsidRDefault="00000000">
      <w:pPr>
        <w:pStyle w:val="Ttulo1"/>
      </w:pPr>
      <w:r>
        <w:rPr>
          <w:rFonts w:ascii="Times New Roman" w:hAnsi="Times New Roman"/>
          <w:color w:val="000000"/>
        </w:rPr>
        <w:lastRenderedPageBreak/>
        <w:t>3. Marco Teórico: IFRS 9 y Expected Credit Loss</w:t>
      </w:r>
    </w:p>
    <w:p w14:paraId="450858E6" w14:textId="77777777" w:rsidR="00AB17A0" w:rsidRDefault="00000000">
      <w:pPr>
        <w:pStyle w:val="Ttulo2"/>
      </w:pPr>
      <w:r>
        <w:rPr>
          <w:rFonts w:ascii="Times New Roman" w:hAnsi="Times New Roman"/>
          <w:color w:val="000000"/>
        </w:rPr>
        <w:t>3.1 Expected Credit Loss (ECL)</w:t>
      </w:r>
    </w:p>
    <w:p w14:paraId="6C47536F" w14:textId="77777777" w:rsidR="00AB17A0" w:rsidRPr="009B27F6" w:rsidRDefault="00000000">
      <w:pPr>
        <w:spacing w:after="120" w:line="360" w:lineRule="exact"/>
        <w:jc w:val="both"/>
        <w:rPr>
          <w:lang w:val="es-ES"/>
        </w:rPr>
      </w:pPr>
      <w:r>
        <w:rPr>
          <w:rFonts w:ascii="Times New Roman" w:hAnsi="Times New Roman"/>
          <w:sz w:val="24"/>
          <w:lang w:val="es-ES"/>
        </w:rPr>
        <w:t>El modelo ECL bajo IFRS 9 requiere que la pérdida crediticia esperada se calcule como:</w:t>
      </w:r>
    </w:p>
    <w:p w14:paraId="0758A80A" w14:textId="77777777" w:rsidR="00AB17A0" w:rsidRDefault="00000000">
      <w:pPr>
        <w:shd w:val="clear" w:color="auto" w:fill="F2F2F2"/>
        <w:spacing w:before="80" w:after="80"/>
        <w:ind w:left="567"/>
      </w:pPr>
      <w:r>
        <w:rPr>
          <w:rFonts w:ascii="Courier New" w:hAnsi="Courier New"/>
          <w:sz w:val="18"/>
        </w:rPr>
        <w:t>ECL = PD × LGD × EAD × (1 / (1 + r))^t</w:t>
      </w:r>
    </w:p>
    <w:p w14:paraId="6F332B85" w14:textId="77777777" w:rsidR="00AB17A0" w:rsidRPr="009B27F6" w:rsidRDefault="00000000">
      <w:pPr>
        <w:spacing w:after="120" w:line="360" w:lineRule="exact"/>
        <w:jc w:val="both"/>
        <w:rPr>
          <w:lang w:val="es-ES"/>
        </w:rPr>
      </w:pPr>
      <w:r>
        <w:rPr>
          <w:rFonts w:ascii="Times New Roman" w:hAnsi="Times New Roman"/>
          <w:sz w:val="24"/>
          <w:lang w:val="es-ES"/>
        </w:rPr>
        <w:t>Donde PD es la Probabilidad de Default, LGD la Pérdida Dada el Default, EAD la Exposición al Default, r la tasa de descuento y t el horizonte temporal. La presente tesis se enfoca en la estimación de la PD.</w:t>
      </w:r>
    </w:p>
    <w:p w14:paraId="19198DBF" w14:textId="77777777" w:rsidR="00AB17A0" w:rsidRPr="009B27F6" w:rsidRDefault="00000000">
      <w:pPr>
        <w:pStyle w:val="Ttulo2"/>
        <w:rPr>
          <w:lang w:val="es-ES"/>
        </w:rPr>
      </w:pPr>
      <w:r>
        <w:rPr>
          <w:rFonts w:ascii="Times New Roman" w:hAnsi="Times New Roman"/>
          <w:color w:val="000000"/>
          <w:lang w:val="es-ES"/>
        </w:rPr>
        <w:t>3.2 Clasificación de Stages IFRS 9</w:t>
      </w:r>
    </w:p>
    <w:p w14:paraId="045F98C1" w14:textId="77777777" w:rsidR="00AB17A0" w:rsidRPr="009B27F6" w:rsidRDefault="00000000">
      <w:pPr>
        <w:spacing w:after="120" w:line="360" w:lineRule="exact"/>
        <w:jc w:val="both"/>
        <w:rPr>
          <w:lang w:val="es-ES"/>
        </w:rPr>
      </w:pPr>
      <w:r>
        <w:rPr>
          <w:rFonts w:ascii="Times New Roman" w:hAnsi="Times New Roman"/>
          <w:sz w:val="24"/>
          <w:lang w:val="es-ES"/>
        </w:rPr>
        <w:t>IFRS 9 clasifica los instrumentos financieros en tres etapas (stages) según el nivel de deterioro del crédito:</w:t>
      </w:r>
    </w:p>
    <w:p w14:paraId="6273D8B6" w14:textId="77777777" w:rsidR="00AB17A0" w:rsidRDefault="00000000">
      <w:pPr>
        <w:pStyle w:val="Listaconvietas"/>
      </w:pPr>
      <w:r>
        <w:rPr>
          <w:rFonts w:ascii="Times New Roman" w:hAnsi="Times New Roman"/>
          <w:b/>
          <w:lang w:val="es-ES"/>
        </w:rPr>
        <w:t xml:space="preserve">Stage 1: </w:t>
      </w:r>
      <w:r>
        <w:rPr>
          <w:rFonts w:ascii="Times New Roman" w:hAnsi="Times New Roman"/>
          <w:lang w:val="es-ES"/>
        </w:rPr>
        <w:t xml:space="preserve">Sin incremento significativo del riesgo de crédito (SICR). </w:t>
      </w:r>
      <w:r>
        <w:rPr>
          <w:rFonts w:ascii="Times New Roman" w:hAnsi="Times New Roman"/>
        </w:rPr>
        <w:t>Se reconoce ECL a 12 meses. DPD = 0 (corriente).</w:t>
      </w:r>
    </w:p>
    <w:p w14:paraId="114DAB97" w14:textId="77777777" w:rsidR="00AB17A0" w:rsidRPr="009B27F6" w:rsidRDefault="00000000">
      <w:pPr>
        <w:pStyle w:val="Listaconvietas"/>
        <w:rPr>
          <w:lang w:val="es-ES"/>
        </w:rPr>
      </w:pPr>
      <w:r>
        <w:rPr>
          <w:rFonts w:ascii="Times New Roman" w:hAnsi="Times New Roman"/>
          <w:b/>
          <w:lang w:val="es-ES"/>
        </w:rPr>
        <w:t xml:space="preserve">Stage 2: </w:t>
      </w:r>
      <w:r>
        <w:rPr>
          <w:rFonts w:ascii="Times New Roman" w:hAnsi="Times New Roman"/>
          <w:lang w:val="es-ES"/>
        </w:rPr>
        <w:t>Incremento significativo del riesgo de crédito. Se reconoce Lifetime ECL. DPD: 30-89 días.</w:t>
      </w:r>
    </w:p>
    <w:p w14:paraId="6BBC81CA" w14:textId="77777777" w:rsidR="00AB17A0" w:rsidRPr="009B27F6" w:rsidRDefault="00000000">
      <w:pPr>
        <w:pStyle w:val="Listaconvietas"/>
        <w:rPr>
          <w:lang w:val="es-ES"/>
        </w:rPr>
      </w:pPr>
      <w:r>
        <w:rPr>
          <w:rFonts w:ascii="Times New Roman" w:hAnsi="Times New Roman"/>
          <w:b/>
          <w:lang w:val="es-ES"/>
        </w:rPr>
        <w:t xml:space="preserve">Stage 3: </w:t>
      </w:r>
      <w:r>
        <w:rPr>
          <w:rFonts w:ascii="Times New Roman" w:hAnsi="Times New Roman"/>
          <w:lang w:val="es-ES"/>
        </w:rPr>
        <w:t>Activo crediticio deteriorado (en default). Se reconoce Lifetime ECL. DPD ≥ 90 días o evento de pérdida.</w:t>
      </w:r>
    </w:p>
    <w:p>
      <w:pPr>
        <w:pStyle w:val="Ttulo2"/>
      </w:pPr>
      <w:r>
        <w:t>3.2.1 Criterio de SICR según IFRS 9: Comparación de Lifetime PD</w:t>
      </w:r>
    </w:p>
    <w:p>
      <w:pPr/>
      <w:r>
        <w:t>IFRS 9 (párrafo 5.5.9) establece que la evaluación del Incremento Significativo del Riesgo de Crédito (SICR) debe realizarse comparando el riesgo de default vitalicio (Lifetime PD) en la fecha de reporte frente al riesgo existente en el momento de la originación del préstamo. Crucialmente, el estándar prohíbe que los 30 días de mora sean utilizados como indicador primario del SICR; dicho umbral de 30 DPD opera únicamente como backstop regulatorio máximo (IFRS 9, párrafo 5.5.11; EBA, 2022), aplicable únicamente cuando no existen indicadores cuantitativos prospectivos disponibles. La dependencia exclusiva de los días de atraso como trigger del SICR implica que el deterioro crediticio solo se reconoce en una etapa avanzada, retrasando el reconocimiento de la pérdida en el estado de resultados.</w:t>
      </w:r>
    </w:p>
    <w:p>
      <w:pPr/>
      <w:r>
        <w:t>La práctica regulatoria correcta exige definir umbrales cuantitativos sobre la variación de la Lifetime PD respecto a la originación: por ejemplo, clasificar en Stage 2 todo préstamo cuya Lifetime PD corriente supere en más de 100% a la PD vitalicia en originación (umbral relativo), o supere un umbral absoluto expresado en puntos básicos. El criterio de 30 DPD actuaría únicamente como salvaguarda operativa de último recurso (backstop), aplicable a préstamos para los que no se dispone de PD de originación. Esta extensión metodológica se describe como línea futura prioritaria en la Sección 12.2.</w:t>
      </w:r>
    </w:p>
    <w:p>
      <w:pPr>
        <w:pStyle w:val="Ttulo2"/>
      </w:pPr>
      <w:r>
        <w:t>3.2.2 Exención por Bajo Riesgo Crediticio (Low Credit Risk Exemption)</w:t>
      </w:r>
    </w:p>
    <w:p>
      <w:pPr/>
      <w:r>
        <w:t>IFRS 9 (párrafo 5.5.10) contempla una excepción práctica por la cual las entidades no están obligadas a evaluar el SICR en instrumentos que presenten bajo riesgo crediticio (calidad crediticia equivalente a investment grade) a la fecha de reporte. No obstante, la EBA (2022) advierte reiteradamente que la aplicación excesiva de esta exención en carteras retail e hipotecarias —denominadas High Default Portfolios— puede enmascarar el deterioro crediticio real y reducir la sensibilidad de las provisiones al ciclo económico. En el presente trabajo, esta exención no es aplicada: el modelo evalúa el riesgo de crédito para todas las observaciones de Stage 1 de manera holística, sin excluir a priori ningún préstamo del análisis de SICR. Esta posición está justificada por el carácter High Default Portfolio de la cartera analizada (tasa de default global ≈ 0.83%) y se alinea con las mejores prácticas prudenciales y las expectativas supervisoras de la EBA.</w:t>
      </w:r>
    </w:p>
    <w:p w14:paraId="39CC1C97" w14:textId="77777777" w:rsidR="00AB17A0" w:rsidRPr="009B27F6" w:rsidRDefault="00000000">
      <w:pPr>
        <w:pStyle w:val="Ttulo2"/>
        <w:rPr>
          <w:lang w:val="es-ES"/>
        </w:rPr>
      </w:pPr>
      <w:r>
        <w:rPr>
          <w:rFonts w:ascii="Times New Roman" w:hAnsi="Times New Roman"/>
          <w:color w:val="000000"/>
          <w:lang w:val="es-ES"/>
        </w:rPr>
        <w:t>3.3 Definición de Default Adoptada</w:t>
      </w:r>
    </w:p>
    <w:p w14:paraId="6671B095" w14:textId="77777777" w:rsidR="00AB17A0" w:rsidRPr="009B27F6" w:rsidRDefault="00000000">
      <w:pPr>
        <w:spacing w:after="120" w:line="360" w:lineRule="exact"/>
        <w:jc w:val="both"/>
        <w:rPr>
          <w:lang w:val="es-ES"/>
        </w:rPr>
      </w:pPr>
      <w:r>
        <w:rPr>
          <w:rFonts w:ascii="Times New Roman" w:hAnsi="Times New Roman"/>
          <w:sz w:val="24"/>
          <w:lang w:val="es-ES"/>
        </w:rPr>
        <w:t>En este trabajo se adopta la definición de default conforme al estándar IFRS 9 / Basilea. Un préstamo se considera en default en el período t si se cumple alguna de las siguientes condiciones:</w:t>
      </w:r>
    </w:p>
    <w:p w14:paraId="32903B44" w14:textId="77777777" w:rsidR="00AB17A0" w:rsidRPr="009B27F6" w:rsidRDefault="00000000">
      <w:pPr>
        <w:shd w:val="clear" w:color="auto" w:fill="F2F2F2"/>
        <w:spacing w:before="80" w:after="80"/>
        <w:ind w:left="567"/>
        <w:rPr>
          <w:lang w:val="es-ES"/>
        </w:rPr>
      </w:pPr>
      <w:r>
        <w:rPr>
          <w:rFonts w:ascii="Courier New" w:hAnsi="Courier New"/>
          <w:sz w:val="18"/>
          <w:lang w:val="es-ES"/>
        </w:rPr>
        <w:t>Default = (DPD ≥ 90 días)  OR  (Zero Balance Code ∈ {02, 03, 09})</w:t>
      </w:r>
      <w:r>
        <w:rPr>
          <w:rFonts w:ascii="Courier New" w:hAnsi="Courier New"/>
          <w:sz w:val="18"/>
          <w:lang w:val="es-ES"/>
        </w:rPr>
        <w:br/>
      </w:r>
      <w:r>
        <w:rPr>
          <w:rFonts w:ascii="Courier New" w:hAnsi="Courier New"/>
          <w:sz w:val="18"/>
          <w:lang w:val="es-ES"/>
        </w:rPr>
        <w:br/>
        <w:t>Donde:</w:t>
      </w:r>
      <w:r>
        <w:rPr>
          <w:rFonts w:ascii="Courier New" w:hAnsi="Courier New"/>
          <w:sz w:val="18"/>
          <w:lang w:val="es-ES"/>
        </w:rPr>
        <w:br/>
        <w:t xml:space="preserve">  DPD = current_loan_delinquency_status × 30 días</w:t>
      </w:r>
      <w:r>
        <w:rPr>
          <w:rFonts w:ascii="Courier New" w:hAnsi="Courier New"/>
          <w:sz w:val="18"/>
          <w:lang w:val="es-ES"/>
        </w:rPr>
        <w:br/>
        <w:t xml:space="preserve">  ZBC 02 = Third Party Sale (venta a terceros)</w:t>
      </w:r>
      <w:r>
        <w:rPr>
          <w:rFonts w:ascii="Courier New" w:hAnsi="Courier New"/>
          <w:sz w:val="18"/>
          <w:lang w:val="es-ES"/>
        </w:rPr>
        <w:br/>
        <w:t xml:space="preserve">  ZBC 03 = Short Sale o Charge-Off</w:t>
      </w:r>
      <w:r>
        <w:rPr>
          <w:rFonts w:ascii="Courier New" w:hAnsi="Courier New"/>
          <w:sz w:val="18"/>
          <w:lang w:val="es-ES"/>
        </w:rPr>
        <w:br/>
        <w:t xml:space="preserve">  ZBC 09 = REO Disposition (ejecución hipotecaria)</w:t>
      </w:r>
      <w:r>
        <w:rPr>
          <w:rFonts w:ascii="Courier New" w:hAnsi="Courier New"/>
          <w:sz w:val="18"/>
          <w:lang w:val="es-ES"/>
        </w:rPr>
        <w:br/>
      </w:r>
    </w:p>
    <w:p w14:paraId="623E7233" w14:textId="77777777" w:rsidR="00AB17A0" w:rsidRPr="009B27F6" w:rsidRDefault="00000000">
      <w:pPr>
        <w:rPr>
          <w:lang w:val="es-ES"/>
        </w:rPr>
      </w:pPr>
      <w:r>
        <w:rPr>
          <w:lang w:val="es-ES"/>
        </w:rPr>
        <w:br w:type="page"/>
      </w:r>
    </w:p>
    <w:p w14:paraId="10AFE7D8" w14:textId="77777777" w:rsidR="00AB17A0" w:rsidRPr="009B27F6" w:rsidRDefault="00000000">
      <w:pPr>
        <w:pStyle w:val="Ttulo1"/>
        <w:rPr>
          <w:lang w:val="es-ES"/>
        </w:rPr>
      </w:pPr>
      <w:r>
        <w:rPr>
          <w:rFonts w:ascii="Times New Roman" w:hAnsi="Times New Roman"/>
          <w:color w:val="000000"/>
          <w:lang w:val="es-ES"/>
        </w:rPr>
        <w:lastRenderedPageBreak/>
        <w:t>4. Descripción del Dataset y Análisis Exploratorio</w:t>
      </w:r>
    </w:p>
    <w:p w14:paraId="475E10BA" w14:textId="77777777" w:rsidR="00AB17A0" w:rsidRDefault="00000000">
      <w:pPr>
        <w:pStyle w:val="Ttulo2"/>
      </w:pPr>
      <w:r>
        <w:rPr>
          <w:rFonts w:ascii="Times New Roman" w:hAnsi="Times New Roman"/>
          <w:color w:val="000000"/>
        </w:rPr>
        <w:t>4.1 Freddie Mac Single-Family Loan-Level Dataset</w:t>
      </w:r>
    </w:p>
    <w:p w14:paraId="7EB47F71" w14:textId="77777777" w:rsidR="00AB17A0" w:rsidRDefault="00000000">
      <w:pPr>
        <w:spacing w:after="120" w:line="360" w:lineRule="exact"/>
        <w:jc w:val="both"/>
      </w:pPr>
      <w:r>
        <w:rPr>
          <w:rFonts w:ascii="Times New Roman" w:hAnsi="Times New Roman"/>
          <w:sz w:val="24"/>
          <w:lang w:val="es-ES"/>
        </w:rPr>
        <w:t xml:space="preserve">Se utiliza el Freddie Mac Single-Family Loan-Level Dataset (Sample), una muestra aleatoria de 50.000 préstamos por año de originación, provista públicamente por Freddie Mac. </w:t>
      </w:r>
      <w:r>
        <w:rPr>
          <w:rFonts w:ascii="Times New Roman" w:hAnsi="Times New Roman"/>
          <w:sz w:val="24"/>
        </w:rPr>
        <w:t>El dataset contiene dos archivos por año:</w:t>
      </w:r>
    </w:p>
    <w:p w14:paraId="6D8A0404" w14:textId="77777777" w:rsidR="00AB17A0" w:rsidRPr="009B27F6" w:rsidRDefault="00000000">
      <w:pPr>
        <w:pStyle w:val="Listaconvietas"/>
        <w:rPr>
          <w:lang w:val="es-ES"/>
        </w:rPr>
      </w:pPr>
      <w:r>
        <w:rPr>
          <w:rFonts w:ascii="Times New Roman" w:hAnsi="Times New Roman"/>
          <w:lang w:val="es-ES"/>
        </w:rPr>
        <w:t>sample_orig_YYYY.txt: datos de originación del préstamo (32 variables).</w:t>
      </w:r>
    </w:p>
    <w:p w14:paraId="62C8F1EE" w14:textId="77777777" w:rsidR="00AB17A0" w:rsidRPr="009B27F6" w:rsidRDefault="00000000">
      <w:pPr>
        <w:pStyle w:val="Listaconvietas"/>
        <w:rPr>
          <w:lang w:val="es-ES"/>
        </w:rPr>
      </w:pPr>
      <w:r>
        <w:rPr>
          <w:rFonts w:ascii="Times New Roman" w:hAnsi="Times New Roman"/>
          <w:lang w:val="es-ES"/>
        </w:rPr>
        <w:t>sample_svcg_YYYY.txt: datos de performance mensual (32 variables).</w:t>
      </w:r>
    </w:p>
    <w:p w14:paraId="51F627A1" w14:textId="77777777" w:rsidR="00AB17A0" w:rsidRPr="009B27F6" w:rsidRDefault="00000000">
      <w:pPr>
        <w:pStyle w:val="Ttulo2"/>
        <w:rPr>
          <w:lang w:val="es-ES"/>
        </w:rPr>
      </w:pPr>
      <w:r>
        <w:rPr>
          <w:rFonts w:ascii="Times New Roman" w:hAnsi="Times New Roman"/>
          <w:color w:val="000000"/>
          <w:lang w:val="es-ES"/>
        </w:rPr>
        <w:t>4.2 Estadísticas Descriptivas – Originación</w:t>
      </w:r>
    </w:p>
    <w:p w14:paraId="6B5B221A" w14:textId="77777777" w:rsidR="00AB17A0" w:rsidRPr="009B27F6" w:rsidRDefault="00000000">
      <w:pPr>
        <w:spacing w:after="120" w:line="360" w:lineRule="exact"/>
        <w:jc w:val="both"/>
        <w:rPr>
          <w:lang w:val="es-ES"/>
        </w:rPr>
      </w:pPr>
      <w:r>
        <w:rPr>
          <w:rFonts w:ascii="Times New Roman" w:hAnsi="Times New Roman"/>
          <w:sz w:val="24"/>
          <w:lang w:val="es-ES"/>
        </w:rPr>
        <w:t>El dataset de originación contiene 400,000 préstamos únicos, con primer pago entre 2016-02-01 y 2025-04-01. A continuación se presentan las estadísticas descriptivas de las principales variables cuantitativas:</w:t>
      </w:r>
    </w:p>
    <w:p w14:paraId="22383EC0" w14:textId="77777777" w:rsidR="00AB17A0" w:rsidRPr="009B27F6" w:rsidRDefault="00000000">
      <w:pPr>
        <w:jc w:val="center"/>
        <w:rPr>
          <w:lang w:val="es-ES"/>
        </w:rPr>
      </w:pPr>
      <w:r>
        <w:rPr>
          <w:rFonts w:ascii="Times New Roman" w:hAnsi="Times New Roman"/>
          <w:i/>
          <w:sz w:val="20"/>
          <w:lang w:val="es-ES"/>
        </w:rPr>
        <w:t>Tabla 1. Estadísticas descriptivas – variables de originación</w:t>
      </w:r>
    </w:p>
    <w:tbl>
      <w:tblPr>
        <w:tblStyle w:val="Tablaconcuadrcula"/>
        <w:tblW w:w="0" w:type="auto"/>
        <w:jc w:val="center"/>
        <w:tblLook w:val="04A0" w:firstRow="1" w:lastRow="0" w:firstColumn="1" w:lastColumn="0" w:noHBand="0" w:noVBand="1"/>
      </w:tblPr>
      <w:tblGrid>
        <w:gridCol w:w="1161"/>
        <w:gridCol w:w="1161"/>
        <w:gridCol w:w="1161"/>
        <w:gridCol w:w="1121"/>
        <w:gridCol w:w="1161"/>
        <w:gridCol w:w="1161"/>
        <w:gridCol w:w="1161"/>
        <w:gridCol w:w="1251"/>
      </w:tblGrid>
      <w:tr w:rsidR="00AB17A0" w14:paraId="221148D3" w14:textId="77777777">
        <w:trPr>
          <w:jc w:val="center"/>
        </w:trPr>
        <w:tc>
          <w:tcPr>
            <w:tcW w:w="1140" w:type="dxa"/>
            <w:shd w:val="clear" w:color="auto" w:fill="1F4E79"/>
          </w:tcPr>
          <w:p w14:paraId="62CC169A" w14:textId="77777777" w:rsidR="00AB17A0" w:rsidRDefault="00000000">
            <w:r>
              <w:rPr>
                <w:rFonts w:ascii="Times New Roman" w:hAnsi="Times New Roman"/>
                <w:b/>
                <w:color w:val="FFFFFF"/>
                <w:sz w:val="18"/>
              </w:rPr>
              <w:t>count</w:t>
            </w:r>
          </w:p>
        </w:tc>
        <w:tc>
          <w:tcPr>
            <w:tcW w:w="1140" w:type="dxa"/>
            <w:shd w:val="clear" w:color="auto" w:fill="1F4E79"/>
          </w:tcPr>
          <w:p w14:paraId="4A8BFD64" w14:textId="77777777" w:rsidR="00AB17A0" w:rsidRDefault="00000000">
            <w:r>
              <w:rPr>
                <w:rFonts w:ascii="Times New Roman" w:hAnsi="Times New Roman"/>
                <w:b/>
                <w:color w:val="FFFFFF"/>
                <w:sz w:val="18"/>
              </w:rPr>
              <w:t>mean</w:t>
            </w:r>
          </w:p>
        </w:tc>
        <w:tc>
          <w:tcPr>
            <w:tcW w:w="1140" w:type="dxa"/>
            <w:shd w:val="clear" w:color="auto" w:fill="1F4E79"/>
          </w:tcPr>
          <w:p w14:paraId="7784D14C" w14:textId="77777777" w:rsidR="00AB17A0" w:rsidRDefault="00000000">
            <w:r>
              <w:rPr>
                <w:rFonts w:ascii="Times New Roman" w:hAnsi="Times New Roman"/>
                <w:b/>
                <w:color w:val="FFFFFF"/>
                <w:sz w:val="18"/>
              </w:rPr>
              <w:t>std</w:t>
            </w:r>
          </w:p>
        </w:tc>
        <w:tc>
          <w:tcPr>
            <w:tcW w:w="1140" w:type="dxa"/>
            <w:shd w:val="clear" w:color="auto" w:fill="1F4E79"/>
          </w:tcPr>
          <w:p w14:paraId="3D5E46FF" w14:textId="77777777" w:rsidR="00AB17A0" w:rsidRDefault="00000000">
            <w:r>
              <w:rPr>
                <w:rFonts w:ascii="Times New Roman" w:hAnsi="Times New Roman"/>
                <w:b/>
                <w:color w:val="FFFFFF"/>
                <w:sz w:val="18"/>
              </w:rPr>
              <w:t>min</w:t>
            </w:r>
          </w:p>
        </w:tc>
        <w:tc>
          <w:tcPr>
            <w:tcW w:w="1140" w:type="dxa"/>
            <w:shd w:val="clear" w:color="auto" w:fill="1F4E79"/>
          </w:tcPr>
          <w:p w14:paraId="64D67E2D" w14:textId="77777777" w:rsidR="00AB17A0" w:rsidRDefault="00000000">
            <w:r>
              <w:rPr>
                <w:rFonts w:ascii="Times New Roman" w:hAnsi="Times New Roman"/>
                <w:b/>
                <w:color w:val="FFFFFF"/>
                <w:sz w:val="18"/>
              </w:rPr>
              <w:t>25%</w:t>
            </w:r>
          </w:p>
        </w:tc>
        <w:tc>
          <w:tcPr>
            <w:tcW w:w="1140" w:type="dxa"/>
            <w:shd w:val="clear" w:color="auto" w:fill="1F4E79"/>
          </w:tcPr>
          <w:p w14:paraId="13B36083" w14:textId="77777777" w:rsidR="00AB17A0" w:rsidRDefault="00000000">
            <w:r>
              <w:rPr>
                <w:rFonts w:ascii="Times New Roman" w:hAnsi="Times New Roman"/>
                <w:b/>
                <w:color w:val="FFFFFF"/>
                <w:sz w:val="18"/>
              </w:rPr>
              <w:t>50%</w:t>
            </w:r>
          </w:p>
        </w:tc>
        <w:tc>
          <w:tcPr>
            <w:tcW w:w="1140" w:type="dxa"/>
            <w:shd w:val="clear" w:color="auto" w:fill="1F4E79"/>
          </w:tcPr>
          <w:p w14:paraId="638A4519" w14:textId="77777777" w:rsidR="00AB17A0" w:rsidRDefault="00000000">
            <w:r>
              <w:rPr>
                <w:rFonts w:ascii="Times New Roman" w:hAnsi="Times New Roman"/>
                <w:b/>
                <w:color w:val="FFFFFF"/>
                <w:sz w:val="18"/>
              </w:rPr>
              <w:t>75%</w:t>
            </w:r>
          </w:p>
        </w:tc>
        <w:tc>
          <w:tcPr>
            <w:tcW w:w="1140" w:type="dxa"/>
            <w:shd w:val="clear" w:color="auto" w:fill="1F4E79"/>
          </w:tcPr>
          <w:p w14:paraId="4A89C32C" w14:textId="77777777" w:rsidR="00AB17A0" w:rsidRDefault="00000000">
            <w:r>
              <w:rPr>
                <w:rFonts w:ascii="Times New Roman" w:hAnsi="Times New Roman"/>
                <w:b/>
                <w:color w:val="FFFFFF"/>
                <w:sz w:val="18"/>
              </w:rPr>
              <w:t>max</w:t>
            </w:r>
          </w:p>
        </w:tc>
      </w:tr>
      <w:tr w:rsidR="00AB17A0" w14:paraId="54BE0312" w14:textId="77777777">
        <w:trPr>
          <w:jc w:val="center"/>
        </w:trPr>
        <w:tc>
          <w:tcPr>
            <w:tcW w:w="1140" w:type="dxa"/>
            <w:shd w:val="clear" w:color="auto" w:fill="FFFFFF"/>
          </w:tcPr>
          <w:p w14:paraId="0C239854" w14:textId="77777777" w:rsidR="00AB17A0" w:rsidRDefault="00000000">
            <w:r>
              <w:rPr>
                <w:rFonts w:ascii="Times New Roman" w:hAnsi="Times New Roman"/>
                <w:sz w:val="18"/>
              </w:rPr>
              <w:t>399901.0000</w:t>
            </w:r>
          </w:p>
        </w:tc>
        <w:tc>
          <w:tcPr>
            <w:tcW w:w="1140" w:type="dxa"/>
            <w:shd w:val="clear" w:color="auto" w:fill="FFFFFF"/>
          </w:tcPr>
          <w:p w14:paraId="4C97818B" w14:textId="77777777" w:rsidR="00AB17A0" w:rsidRDefault="00000000">
            <w:r>
              <w:rPr>
                <w:rFonts w:ascii="Times New Roman" w:hAnsi="Times New Roman"/>
                <w:sz w:val="18"/>
              </w:rPr>
              <w:t>749.2100</w:t>
            </w:r>
          </w:p>
        </w:tc>
        <w:tc>
          <w:tcPr>
            <w:tcW w:w="1140" w:type="dxa"/>
            <w:shd w:val="clear" w:color="auto" w:fill="FFFFFF"/>
          </w:tcPr>
          <w:p w14:paraId="6B517FB8" w14:textId="77777777" w:rsidR="00AB17A0" w:rsidRDefault="00000000">
            <w:r>
              <w:rPr>
                <w:rFonts w:ascii="Times New Roman" w:hAnsi="Times New Roman"/>
                <w:sz w:val="18"/>
              </w:rPr>
              <w:t>45.4000</w:t>
            </w:r>
          </w:p>
        </w:tc>
        <w:tc>
          <w:tcPr>
            <w:tcW w:w="1140" w:type="dxa"/>
            <w:shd w:val="clear" w:color="auto" w:fill="FFFFFF"/>
          </w:tcPr>
          <w:p w14:paraId="309DA7F6" w14:textId="77777777" w:rsidR="00AB17A0" w:rsidRDefault="00000000">
            <w:r>
              <w:rPr>
                <w:rFonts w:ascii="Times New Roman" w:hAnsi="Times New Roman"/>
                <w:sz w:val="18"/>
              </w:rPr>
              <w:t>300.0000</w:t>
            </w:r>
          </w:p>
        </w:tc>
        <w:tc>
          <w:tcPr>
            <w:tcW w:w="1140" w:type="dxa"/>
            <w:shd w:val="clear" w:color="auto" w:fill="FFFFFF"/>
          </w:tcPr>
          <w:p w14:paraId="2B41546C" w14:textId="77777777" w:rsidR="00AB17A0" w:rsidRDefault="00000000">
            <w:r>
              <w:rPr>
                <w:rFonts w:ascii="Times New Roman" w:hAnsi="Times New Roman"/>
                <w:sz w:val="18"/>
              </w:rPr>
              <w:t>718.0000</w:t>
            </w:r>
          </w:p>
        </w:tc>
        <w:tc>
          <w:tcPr>
            <w:tcW w:w="1140" w:type="dxa"/>
            <w:shd w:val="clear" w:color="auto" w:fill="FFFFFF"/>
          </w:tcPr>
          <w:p w14:paraId="045074BA" w14:textId="77777777" w:rsidR="00AB17A0" w:rsidRDefault="00000000">
            <w:r>
              <w:rPr>
                <w:rFonts w:ascii="Times New Roman" w:hAnsi="Times New Roman"/>
                <w:sz w:val="18"/>
              </w:rPr>
              <w:t>758.0000</w:t>
            </w:r>
          </w:p>
        </w:tc>
        <w:tc>
          <w:tcPr>
            <w:tcW w:w="1140" w:type="dxa"/>
            <w:shd w:val="clear" w:color="auto" w:fill="FFFFFF"/>
          </w:tcPr>
          <w:p w14:paraId="1D9AAD9C" w14:textId="77777777" w:rsidR="00AB17A0" w:rsidRDefault="00000000">
            <w:r>
              <w:rPr>
                <w:rFonts w:ascii="Times New Roman" w:hAnsi="Times New Roman"/>
                <w:sz w:val="18"/>
              </w:rPr>
              <w:t>786.0000</w:t>
            </w:r>
          </w:p>
        </w:tc>
        <w:tc>
          <w:tcPr>
            <w:tcW w:w="1140" w:type="dxa"/>
            <w:shd w:val="clear" w:color="auto" w:fill="FFFFFF"/>
          </w:tcPr>
          <w:p w14:paraId="5202E953" w14:textId="77777777" w:rsidR="00AB17A0" w:rsidRDefault="00000000">
            <w:r>
              <w:rPr>
                <w:rFonts w:ascii="Times New Roman" w:hAnsi="Times New Roman"/>
                <w:sz w:val="18"/>
              </w:rPr>
              <w:t>835.0000</w:t>
            </w:r>
          </w:p>
        </w:tc>
      </w:tr>
      <w:tr w:rsidR="00AB17A0" w14:paraId="7046E61B" w14:textId="77777777">
        <w:trPr>
          <w:jc w:val="center"/>
        </w:trPr>
        <w:tc>
          <w:tcPr>
            <w:tcW w:w="1140" w:type="dxa"/>
            <w:shd w:val="clear" w:color="auto" w:fill="E8F0FE"/>
          </w:tcPr>
          <w:p w14:paraId="1888B54A" w14:textId="77777777" w:rsidR="00AB17A0" w:rsidRDefault="00000000">
            <w:r>
              <w:rPr>
                <w:rFonts w:ascii="Times New Roman" w:hAnsi="Times New Roman"/>
                <w:sz w:val="18"/>
              </w:rPr>
              <w:t>399999.0000</w:t>
            </w:r>
          </w:p>
        </w:tc>
        <w:tc>
          <w:tcPr>
            <w:tcW w:w="1140" w:type="dxa"/>
            <w:shd w:val="clear" w:color="auto" w:fill="E8F0FE"/>
          </w:tcPr>
          <w:p w14:paraId="4F9F9300" w14:textId="77777777" w:rsidR="00AB17A0" w:rsidRDefault="00000000">
            <w:r>
              <w:rPr>
                <w:rFonts w:ascii="Times New Roman" w:hAnsi="Times New Roman"/>
                <w:sz w:val="18"/>
              </w:rPr>
              <w:t>74.3700</w:t>
            </w:r>
          </w:p>
        </w:tc>
        <w:tc>
          <w:tcPr>
            <w:tcW w:w="1140" w:type="dxa"/>
            <w:shd w:val="clear" w:color="auto" w:fill="E8F0FE"/>
          </w:tcPr>
          <w:p w14:paraId="37D74CE7" w14:textId="77777777" w:rsidR="00AB17A0" w:rsidRDefault="00000000">
            <w:r>
              <w:rPr>
                <w:rFonts w:ascii="Times New Roman" w:hAnsi="Times New Roman"/>
                <w:sz w:val="18"/>
              </w:rPr>
              <w:t>17.9400</w:t>
            </w:r>
          </w:p>
        </w:tc>
        <w:tc>
          <w:tcPr>
            <w:tcW w:w="1140" w:type="dxa"/>
            <w:shd w:val="clear" w:color="auto" w:fill="E8F0FE"/>
          </w:tcPr>
          <w:p w14:paraId="59AE14F4" w14:textId="77777777" w:rsidR="00AB17A0" w:rsidRDefault="00000000">
            <w:r>
              <w:rPr>
                <w:rFonts w:ascii="Times New Roman" w:hAnsi="Times New Roman"/>
                <w:sz w:val="18"/>
              </w:rPr>
              <w:t>3.0000</w:t>
            </w:r>
          </w:p>
        </w:tc>
        <w:tc>
          <w:tcPr>
            <w:tcW w:w="1140" w:type="dxa"/>
            <w:shd w:val="clear" w:color="auto" w:fill="E8F0FE"/>
          </w:tcPr>
          <w:p w14:paraId="0666C915" w14:textId="77777777" w:rsidR="00AB17A0" w:rsidRDefault="00000000">
            <w:r>
              <w:rPr>
                <w:rFonts w:ascii="Times New Roman" w:hAnsi="Times New Roman"/>
                <w:sz w:val="18"/>
              </w:rPr>
              <w:t>65.0000</w:t>
            </w:r>
          </w:p>
        </w:tc>
        <w:tc>
          <w:tcPr>
            <w:tcW w:w="1140" w:type="dxa"/>
            <w:shd w:val="clear" w:color="auto" w:fill="E8F0FE"/>
          </w:tcPr>
          <w:p w14:paraId="303CE872" w14:textId="77777777" w:rsidR="00AB17A0" w:rsidRDefault="00000000">
            <w:r>
              <w:rPr>
                <w:rFonts w:ascii="Times New Roman" w:hAnsi="Times New Roman"/>
                <w:sz w:val="18"/>
              </w:rPr>
              <w:t>80.0000</w:t>
            </w:r>
          </w:p>
        </w:tc>
        <w:tc>
          <w:tcPr>
            <w:tcW w:w="1140" w:type="dxa"/>
            <w:shd w:val="clear" w:color="auto" w:fill="E8F0FE"/>
          </w:tcPr>
          <w:p w14:paraId="2BAE31A3" w14:textId="77777777" w:rsidR="00AB17A0" w:rsidRDefault="00000000">
            <w:r>
              <w:rPr>
                <w:rFonts w:ascii="Times New Roman" w:hAnsi="Times New Roman"/>
                <w:sz w:val="18"/>
              </w:rPr>
              <w:t>90.0000</w:t>
            </w:r>
          </w:p>
        </w:tc>
        <w:tc>
          <w:tcPr>
            <w:tcW w:w="1140" w:type="dxa"/>
            <w:shd w:val="clear" w:color="auto" w:fill="E8F0FE"/>
          </w:tcPr>
          <w:p w14:paraId="54B2F3FC" w14:textId="77777777" w:rsidR="00AB17A0" w:rsidRDefault="00000000">
            <w:r>
              <w:rPr>
                <w:rFonts w:ascii="Times New Roman" w:hAnsi="Times New Roman"/>
                <w:sz w:val="18"/>
              </w:rPr>
              <w:t>336.0000</w:t>
            </w:r>
          </w:p>
        </w:tc>
      </w:tr>
      <w:tr w:rsidR="00AB17A0" w14:paraId="3CBB6D07" w14:textId="77777777">
        <w:trPr>
          <w:jc w:val="center"/>
        </w:trPr>
        <w:tc>
          <w:tcPr>
            <w:tcW w:w="1140" w:type="dxa"/>
            <w:shd w:val="clear" w:color="auto" w:fill="FFFFFF"/>
          </w:tcPr>
          <w:p w14:paraId="6AF698A9" w14:textId="77777777" w:rsidR="00AB17A0" w:rsidRDefault="00000000">
            <w:r>
              <w:rPr>
                <w:rFonts w:ascii="Times New Roman" w:hAnsi="Times New Roman"/>
                <w:sz w:val="18"/>
              </w:rPr>
              <w:t>395099.0000</w:t>
            </w:r>
          </w:p>
        </w:tc>
        <w:tc>
          <w:tcPr>
            <w:tcW w:w="1140" w:type="dxa"/>
            <w:shd w:val="clear" w:color="auto" w:fill="FFFFFF"/>
          </w:tcPr>
          <w:p w14:paraId="114B792B" w14:textId="77777777" w:rsidR="00AB17A0" w:rsidRDefault="00000000">
            <w:r>
              <w:rPr>
                <w:rFonts w:ascii="Times New Roman" w:hAnsi="Times New Roman"/>
                <w:sz w:val="18"/>
              </w:rPr>
              <w:t>35.8300</w:t>
            </w:r>
          </w:p>
        </w:tc>
        <w:tc>
          <w:tcPr>
            <w:tcW w:w="1140" w:type="dxa"/>
            <w:shd w:val="clear" w:color="auto" w:fill="FFFFFF"/>
          </w:tcPr>
          <w:p w14:paraId="17741E25" w14:textId="77777777" w:rsidR="00AB17A0" w:rsidRDefault="00000000">
            <w:r>
              <w:rPr>
                <w:rFonts w:ascii="Times New Roman" w:hAnsi="Times New Roman"/>
                <w:sz w:val="18"/>
              </w:rPr>
              <w:t>9.5200</w:t>
            </w:r>
          </w:p>
        </w:tc>
        <w:tc>
          <w:tcPr>
            <w:tcW w:w="1140" w:type="dxa"/>
            <w:shd w:val="clear" w:color="auto" w:fill="FFFFFF"/>
          </w:tcPr>
          <w:p w14:paraId="5CB53BC5" w14:textId="77777777" w:rsidR="00AB17A0" w:rsidRDefault="00000000">
            <w:r>
              <w:rPr>
                <w:rFonts w:ascii="Times New Roman" w:hAnsi="Times New Roman"/>
                <w:sz w:val="18"/>
              </w:rPr>
              <w:t>1.0000</w:t>
            </w:r>
          </w:p>
        </w:tc>
        <w:tc>
          <w:tcPr>
            <w:tcW w:w="1140" w:type="dxa"/>
            <w:shd w:val="clear" w:color="auto" w:fill="FFFFFF"/>
          </w:tcPr>
          <w:p w14:paraId="2FC2D59A" w14:textId="77777777" w:rsidR="00AB17A0" w:rsidRDefault="00000000">
            <w:r>
              <w:rPr>
                <w:rFonts w:ascii="Times New Roman" w:hAnsi="Times New Roman"/>
                <w:sz w:val="18"/>
              </w:rPr>
              <w:t>29.0000</w:t>
            </w:r>
          </w:p>
        </w:tc>
        <w:tc>
          <w:tcPr>
            <w:tcW w:w="1140" w:type="dxa"/>
            <w:shd w:val="clear" w:color="auto" w:fill="FFFFFF"/>
          </w:tcPr>
          <w:p w14:paraId="60893109" w14:textId="77777777" w:rsidR="00AB17A0" w:rsidRDefault="00000000">
            <w:r>
              <w:rPr>
                <w:rFonts w:ascii="Times New Roman" w:hAnsi="Times New Roman"/>
                <w:sz w:val="18"/>
              </w:rPr>
              <w:t>37.0000</w:t>
            </w:r>
          </w:p>
        </w:tc>
        <w:tc>
          <w:tcPr>
            <w:tcW w:w="1140" w:type="dxa"/>
            <w:shd w:val="clear" w:color="auto" w:fill="FFFFFF"/>
          </w:tcPr>
          <w:p w14:paraId="0A2B1A0A" w14:textId="77777777" w:rsidR="00AB17A0" w:rsidRDefault="00000000">
            <w:r>
              <w:rPr>
                <w:rFonts w:ascii="Times New Roman" w:hAnsi="Times New Roman"/>
                <w:sz w:val="18"/>
              </w:rPr>
              <w:t>44.0000</w:t>
            </w:r>
          </w:p>
        </w:tc>
        <w:tc>
          <w:tcPr>
            <w:tcW w:w="1140" w:type="dxa"/>
            <w:shd w:val="clear" w:color="auto" w:fill="FFFFFF"/>
          </w:tcPr>
          <w:p w14:paraId="32929719" w14:textId="77777777" w:rsidR="00AB17A0" w:rsidRDefault="00000000">
            <w:r>
              <w:rPr>
                <w:rFonts w:ascii="Times New Roman" w:hAnsi="Times New Roman"/>
                <w:sz w:val="18"/>
              </w:rPr>
              <w:t>63.0000</w:t>
            </w:r>
          </w:p>
        </w:tc>
      </w:tr>
      <w:tr w:rsidR="00AB17A0" w14:paraId="32B83346" w14:textId="77777777">
        <w:trPr>
          <w:jc w:val="center"/>
        </w:trPr>
        <w:tc>
          <w:tcPr>
            <w:tcW w:w="1140" w:type="dxa"/>
            <w:shd w:val="clear" w:color="auto" w:fill="E8F0FE"/>
          </w:tcPr>
          <w:p w14:paraId="7D52824D" w14:textId="77777777" w:rsidR="00AB17A0" w:rsidRDefault="00000000">
            <w:r>
              <w:rPr>
                <w:rFonts w:ascii="Times New Roman" w:hAnsi="Times New Roman"/>
                <w:sz w:val="18"/>
              </w:rPr>
              <w:t>400000.0000</w:t>
            </w:r>
          </w:p>
        </w:tc>
        <w:tc>
          <w:tcPr>
            <w:tcW w:w="1140" w:type="dxa"/>
            <w:shd w:val="clear" w:color="auto" w:fill="E8F0FE"/>
          </w:tcPr>
          <w:p w14:paraId="615DBF3A" w14:textId="77777777" w:rsidR="00AB17A0" w:rsidRDefault="00000000">
            <w:r>
              <w:rPr>
                <w:rFonts w:ascii="Times New Roman" w:hAnsi="Times New Roman"/>
                <w:sz w:val="18"/>
              </w:rPr>
              <w:t>273294.5700</w:t>
            </w:r>
          </w:p>
        </w:tc>
        <w:tc>
          <w:tcPr>
            <w:tcW w:w="1140" w:type="dxa"/>
            <w:shd w:val="clear" w:color="auto" w:fill="E8F0FE"/>
          </w:tcPr>
          <w:p w14:paraId="647E0CA1" w14:textId="77777777" w:rsidR="00AB17A0" w:rsidRDefault="00000000">
            <w:r>
              <w:rPr>
                <w:rFonts w:ascii="Times New Roman" w:hAnsi="Times New Roman"/>
                <w:sz w:val="18"/>
              </w:rPr>
              <w:t>151536.8600</w:t>
            </w:r>
          </w:p>
        </w:tc>
        <w:tc>
          <w:tcPr>
            <w:tcW w:w="1140" w:type="dxa"/>
            <w:shd w:val="clear" w:color="auto" w:fill="E8F0FE"/>
          </w:tcPr>
          <w:p w14:paraId="52B7604B" w14:textId="77777777" w:rsidR="00AB17A0" w:rsidRDefault="00000000">
            <w:r>
              <w:rPr>
                <w:rFonts w:ascii="Times New Roman" w:hAnsi="Times New Roman"/>
                <w:sz w:val="18"/>
              </w:rPr>
              <w:t>10000.0000</w:t>
            </w:r>
          </w:p>
        </w:tc>
        <w:tc>
          <w:tcPr>
            <w:tcW w:w="1140" w:type="dxa"/>
            <w:shd w:val="clear" w:color="auto" w:fill="E8F0FE"/>
          </w:tcPr>
          <w:p w14:paraId="5FF5F4FC" w14:textId="77777777" w:rsidR="00AB17A0" w:rsidRDefault="00000000">
            <w:r>
              <w:rPr>
                <w:rFonts w:ascii="Times New Roman" w:hAnsi="Times New Roman"/>
                <w:sz w:val="18"/>
              </w:rPr>
              <w:t>160000.0000</w:t>
            </w:r>
          </w:p>
        </w:tc>
        <w:tc>
          <w:tcPr>
            <w:tcW w:w="1140" w:type="dxa"/>
            <w:shd w:val="clear" w:color="auto" w:fill="E8F0FE"/>
          </w:tcPr>
          <w:p w14:paraId="79C45C48" w14:textId="77777777" w:rsidR="00AB17A0" w:rsidRDefault="00000000">
            <w:r>
              <w:rPr>
                <w:rFonts w:ascii="Times New Roman" w:hAnsi="Times New Roman"/>
                <w:sz w:val="18"/>
              </w:rPr>
              <w:t>244000.0000</w:t>
            </w:r>
          </w:p>
        </w:tc>
        <w:tc>
          <w:tcPr>
            <w:tcW w:w="1140" w:type="dxa"/>
            <w:shd w:val="clear" w:color="auto" w:fill="E8F0FE"/>
          </w:tcPr>
          <w:p w14:paraId="7D153635" w14:textId="77777777" w:rsidR="00AB17A0" w:rsidRDefault="00000000">
            <w:r>
              <w:rPr>
                <w:rFonts w:ascii="Times New Roman" w:hAnsi="Times New Roman"/>
                <w:sz w:val="18"/>
              </w:rPr>
              <w:t>356000.0000</w:t>
            </w:r>
          </w:p>
        </w:tc>
        <w:tc>
          <w:tcPr>
            <w:tcW w:w="1140" w:type="dxa"/>
            <w:shd w:val="clear" w:color="auto" w:fill="E8F0FE"/>
          </w:tcPr>
          <w:p w14:paraId="31CD796E" w14:textId="77777777" w:rsidR="00AB17A0" w:rsidRDefault="00000000">
            <w:r>
              <w:rPr>
                <w:rFonts w:ascii="Times New Roman" w:hAnsi="Times New Roman"/>
                <w:sz w:val="18"/>
              </w:rPr>
              <w:t>2100000.0000</w:t>
            </w:r>
          </w:p>
        </w:tc>
      </w:tr>
    </w:tbl>
    <w:p w14:paraId="5F93D4C0" w14:textId="77777777" w:rsidR="00AB17A0" w:rsidRDefault="00AB17A0"/>
    <w:p w14:paraId="4555BF2A" w14:textId="77777777" w:rsidR="00AB17A0" w:rsidRDefault="00000000">
      <w:pPr>
        <w:pStyle w:val="Ttulo2"/>
      </w:pPr>
      <w:r>
        <w:rPr>
          <w:rFonts w:ascii="Times New Roman" w:hAnsi="Times New Roman"/>
          <w:color w:val="000000"/>
        </w:rPr>
        <w:t>4.3 Estadísticas Descriptivas – Performance</w:t>
      </w:r>
    </w:p>
    <w:p w14:paraId="059379F0" w14:textId="77777777" w:rsidR="00AB17A0" w:rsidRPr="009B27F6" w:rsidRDefault="00000000">
      <w:pPr>
        <w:spacing w:after="120" w:line="360" w:lineRule="exact"/>
        <w:jc w:val="both"/>
        <w:rPr>
          <w:lang w:val="es-ES"/>
        </w:rPr>
      </w:pPr>
      <w:r>
        <w:rPr>
          <w:rFonts w:ascii="Times New Roman" w:hAnsi="Times New Roman"/>
          <w:sz w:val="24"/>
          <w:lang w:val="es-ES"/>
        </w:rPr>
        <w:t>El dataset de performance contiene 14,603,212 observaciones mensuales, abarcando el período 2016-02-01 a 2025-03-01. La tasa de observaciones con DPD ≥ 90 días es del 0.8332%. La tasa de default global (DPD ≥ 90 o evento de pérdida) es de 0.83%.</w:t>
      </w:r>
    </w:p>
    <w:p w14:paraId="05B9B133" w14:textId="77777777" w:rsidR="00AB17A0" w:rsidRDefault="00000000">
      <w:pPr>
        <w:pStyle w:val="Ttulo2"/>
      </w:pPr>
      <w:r>
        <w:rPr>
          <w:rFonts w:ascii="Times New Roman" w:hAnsi="Times New Roman"/>
          <w:color w:val="000000"/>
        </w:rPr>
        <w:t>4.4 Visualizaciones Exploratorias</w:t>
      </w:r>
    </w:p>
    <w:p w14:paraId="3FCFB02B" w14:textId="77777777" w:rsidR="00AB17A0" w:rsidRDefault="00000000">
      <w:pPr>
        <w:jc w:val="center"/>
      </w:pPr>
      <w:r>
        <w:rPr>
          <w:noProof/>
        </w:rPr>
        <w:drawing>
          <wp:inline distT="0" distB="0" distL="0" distR="0" wp14:anchorId="4CBAF1DD" wp14:editId="3ADD801B">
            <wp:extent cx="5040000" cy="24794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co_distribucion.png"/>
                    <pic:cNvPicPr/>
                  </pic:nvPicPr>
                  <pic:blipFill>
                    <a:blip r:embed="rId8"/>
                    <a:stretch>
                      <a:fillRect/>
                    </a:stretch>
                  </pic:blipFill>
                  <pic:spPr>
                    <a:xfrm>
                      <a:off x="0" y="0"/>
                      <a:ext cx="5040000" cy="2479458"/>
                    </a:xfrm>
                    <a:prstGeom prst="rect">
                      <a:avLst/>
                    </a:prstGeom>
                  </pic:spPr>
                </pic:pic>
              </a:graphicData>
            </a:graphic>
          </wp:inline>
        </w:drawing>
      </w:r>
    </w:p>
    <w:p w14:paraId="1DA635C5" w14:textId="77777777" w:rsidR="00AB17A0" w:rsidRPr="009B27F6" w:rsidRDefault="00000000">
      <w:pPr>
        <w:jc w:val="center"/>
        <w:rPr>
          <w:lang w:val="es-ES"/>
        </w:rPr>
      </w:pPr>
      <w:r>
        <w:rPr>
          <w:rFonts w:ascii="Times New Roman" w:hAnsi="Times New Roman"/>
          <w:i/>
          <w:sz w:val="20"/>
          <w:lang w:val="es-ES"/>
        </w:rPr>
        <w:t>Figura 1. Distribución del Credit Score (FICO) de originación.</w:t>
      </w:r>
    </w:p>
    <w:p w14:paraId="0C69795F" w14:textId="77777777" w:rsidR="00AB17A0" w:rsidRPr="009B27F6" w:rsidRDefault="00AB17A0">
      <w:pPr>
        <w:rPr>
          <w:lang w:val="es-ES"/>
        </w:rPr>
      </w:pPr>
    </w:p>
    <w:p w14:paraId="4561EAD5" w14:textId="77777777" w:rsidR="00AB17A0" w:rsidRDefault="00000000">
      <w:pPr>
        <w:jc w:val="center"/>
      </w:pPr>
      <w:r>
        <w:rPr>
          <w:noProof/>
        </w:rPr>
        <w:drawing>
          <wp:inline distT="0" distB="0" distL="0" distR="0" wp14:anchorId="5E8856F6" wp14:editId="2F7CFC53">
            <wp:extent cx="5040000" cy="24794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upb_distribucion.png"/>
                    <pic:cNvPicPr/>
                  </pic:nvPicPr>
                  <pic:blipFill>
                    <a:blip r:embed="rId9"/>
                    <a:stretch>
                      <a:fillRect/>
                    </a:stretch>
                  </pic:blipFill>
                  <pic:spPr>
                    <a:xfrm>
                      <a:off x="0" y="0"/>
                      <a:ext cx="5040000" cy="2479458"/>
                    </a:xfrm>
                    <a:prstGeom prst="rect">
                      <a:avLst/>
                    </a:prstGeom>
                  </pic:spPr>
                </pic:pic>
              </a:graphicData>
            </a:graphic>
          </wp:inline>
        </w:drawing>
      </w:r>
    </w:p>
    <w:p w14:paraId="587AC57E" w14:textId="77777777" w:rsidR="00AB17A0" w:rsidRPr="009B27F6" w:rsidRDefault="00000000">
      <w:pPr>
        <w:jc w:val="center"/>
        <w:rPr>
          <w:lang w:val="es-ES"/>
        </w:rPr>
      </w:pPr>
      <w:r>
        <w:rPr>
          <w:rFonts w:ascii="Times New Roman" w:hAnsi="Times New Roman"/>
          <w:i/>
          <w:sz w:val="20"/>
          <w:lang w:val="es-ES"/>
        </w:rPr>
        <w:t>Figura 2. Distribución del saldo actual (Current Actual UPB).</w:t>
      </w:r>
    </w:p>
    <w:p w14:paraId="78F763FD" w14:textId="77777777" w:rsidR="00AB17A0" w:rsidRPr="009B27F6" w:rsidRDefault="00AB17A0">
      <w:pPr>
        <w:rPr>
          <w:lang w:val="es-ES"/>
        </w:rPr>
      </w:pPr>
    </w:p>
    <w:p w14:paraId="45C3CC5B" w14:textId="77777777" w:rsidR="00AB17A0" w:rsidRDefault="00000000">
      <w:pPr>
        <w:jc w:val="center"/>
      </w:pPr>
      <w:r>
        <w:rPr>
          <w:noProof/>
        </w:rPr>
        <w:drawing>
          <wp:inline distT="0" distB="0" distL="0" distR="0" wp14:anchorId="68E8D7A3" wp14:editId="47A5801A">
            <wp:extent cx="5040000" cy="24794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dpd_distribucion.png"/>
                    <pic:cNvPicPr/>
                  </pic:nvPicPr>
                  <pic:blipFill>
                    <a:blip r:embed="rId10"/>
                    <a:stretch>
                      <a:fillRect/>
                    </a:stretch>
                  </pic:blipFill>
                  <pic:spPr>
                    <a:xfrm>
                      <a:off x="0" y="0"/>
                      <a:ext cx="5040000" cy="2479458"/>
                    </a:xfrm>
                    <a:prstGeom prst="rect">
                      <a:avLst/>
                    </a:prstGeom>
                  </pic:spPr>
                </pic:pic>
              </a:graphicData>
            </a:graphic>
          </wp:inline>
        </w:drawing>
      </w:r>
    </w:p>
    <w:p w14:paraId="0383AB2F" w14:textId="77777777" w:rsidR="00AB17A0" w:rsidRPr="009B27F6" w:rsidRDefault="00000000">
      <w:pPr>
        <w:jc w:val="center"/>
        <w:rPr>
          <w:lang w:val="es-ES"/>
        </w:rPr>
      </w:pPr>
      <w:r>
        <w:rPr>
          <w:rFonts w:ascii="Times New Roman" w:hAnsi="Times New Roman"/>
          <w:i/>
          <w:sz w:val="20"/>
          <w:lang w:val="es-ES"/>
        </w:rPr>
        <w:t>Figura 3. Distribución de días en mora (DPD) en el período de performance.</w:t>
      </w:r>
    </w:p>
    <w:p w14:paraId="6D4AE1AB" w14:textId="77777777" w:rsidR="00AB17A0" w:rsidRPr="009B27F6" w:rsidRDefault="00AB17A0">
      <w:pPr>
        <w:rPr>
          <w:lang w:val="es-ES"/>
        </w:rPr>
      </w:pPr>
    </w:p>
    <w:p w14:paraId="6CC054C7" w14:textId="77777777" w:rsidR="00AB17A0" w:rsidRPr="009B27F6" w:rsidRDefault="00000000">
      <w:pPr>
        <w:rPr>
          <w:lang w:val="es-ES"/>
        </w:rPr>
      </w:pPr>
      <w:r>
        <w:rPr>
          <w:lang w:val="es-ES"/>
        </w:rPr>
        <w:br w:type="page"/>
      </w:r>
    </w:p>
    <w:p w14:paraId="298159A5" w14:textId="77777777" w:rsidR="00AB17A0" w:rsidRDefault="00000000">
      <w:pPr>
        <w:jc w:val="center"/>
      </w:pPr>
      <w:r>
        <w:rPr>
          <w:noProof/>
        </w:rPr>
        <w:lastRenderedPageBreak/>
        <w:drawing>
          <wp:inline distT="0" distB="0" distL="0" distR="0" wp14:anchorId="333030E6" wp14:editId="5AD0BE05">
            <wp:extent cx="5040000" cy="19772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default_tiempo.png"/>
                    <pic:cNvPicPr/>
                  </pic:nvPicPr>
                  <pic:blipFill>
                    <a:blip r:embed="rId11"/>
                    <a:stretch>
                      <a:fillRect/>
                    </a:stretch>
                  </pic:blipFill>
                  <pic:spPr>
                    <a:xfrm>
                      <a:off x="0" y="0"/>
                      <a:ext cx="5040000" cy="1977205"/>
                    </a:xfrm>
                    <a:prstGeom prst="rect">
                      <a:avLst/>
                    </a:prstGeom>
                  </pic:spPr>
                </pic:pic>
              </a:graphicData>
            </a:graphic>
          </wp:inline>
        </w:drawing>
      </w:r>
    </w:p>
    <w:p w14:paraId="6258D273" w14:textId="77777777" w:rsidR="00AB17A0" w:rsidRPr="009B27F6" w:rsidRDefault="00000000">
      <w:pPr>
        <w:jc w:val="center"/>
        <w:rPr>
          <w:lang w:val="es-ES"/>
        </w:rPr>
      </w:pPr>
      <w:r>
        <w:rPr>
          <w:rFonts w:ascii="Times New Roman" w:hAnsi="Times New Roman"/>
          <w:i/>
          <w:sz w:val="20"/>
          <w:lang w:val="es-ES"/>
        </w:rPr>
        <w:t>Figura 4. Tasa de default mensual en el dataset Freddie Mac.</w:t>
      </w:r>
    </w:p>
    <w:p w14:paraId="048E78DF" w14:textId="77777777" w:rsidR="00AB17A0" w:rsidRPr="009B27F6" w:rsidRDefault="00AB17A0">
      <w:pPr>
        <w:rPr>
          <w:lang w:val="es-ES"/>
        </w:rPr>
      </w:pPr>
    </w:p>
    <w:p w14:paraId="68BFB67C" w14:textId="77777777" w:rsidR="00AB17A0" w:rsidRDefault="00000000">
      <w:pPr>
        <w:jc w:val="center"/>
      </w:pPr>
      <w:r>
        <w:rPr>
          <w:noProof/>
        </w:rPr>
        <w:drawing>
          <wp:inline distT="0" distB="0" distL="0" distR="0" wp14:anchorId="1516B730" wp14:editId="237E5919">
            <wp:extent cx="5040000" cy="24794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default_vintage.png"/>
                    <pic:cNvPicPr/>
                  </pic:nvPicPr>
                  <pic:blipFill>
                    <a:blip r:embed="rId12"/>
                    <a:stretch>
                      <a:fillRect/>
                    </a:stretch>
                  </pic:blipFill>
                  <pic:spPr>
                    <a:xfrm>
                      <a:off x="0" y="0"/>
                      <a:ext cx="5040000" cy="2479458"/>
                    </a:xfrm>
                    <a:prstGeom prst="rect">
                      <a:avLst/>
                    </a:prstGeom>
                  </pic:spPr>
                </pic:pic>
              </a:graphicData>
            </a:graphic>
          </wp:inline>
        </w:drawing>
      </w:r>
    </w:p>
    <w:p w14:paraId="1DC8AB16" w14:textId="77777777" w:rsidR="00AB17A0" w:rsidRPr="009B27F6" w:rsidRDefault="00000000">
      <w:pPr>
        <w:jc w:val="center"/>
        <w:rPr>
          <w:lang w:val="es-ES"/>
        </w:rPr>
      </w:pPr>
      <w:r>
        <w:rPr>
          <w:rFonts w:ascii="Times New Roman" w:hAnsi="Times New Roman"/>
          <w:i/>
          <w:sz w:val="20"/>
          <w:lang w:val="es-ES"/>
        </w:rPr>
        <w:t>Figura 5. Tasa de default por vintage year (año de originación).</w:t>
      </w:r>
    </w:p>
    <w:p w14:paraId="36581E05" w14:textId="77777777" w:rsidR="00AB17A0" w:rsidRPr="009B27F6" w:rsidRDefault="00AB17A0">
      <w:pPr>
        <w:rPr>
          <w:lang w:val="es-ES"/>
        </w:rPr>
      </w:pPr>
    </w:p>
    <w:p w14:paraId="6D84740A" w14:textId="77777777" w:rsidR="00AB17A0" w:rsidRDefault="00000000">
      <w:pPr>
        <w:jc w:val="center"/>
      </w:pPr>
      <w:r>
        <w:rPr>
          <w:noProof/>
        </w:rPr>
        <w:lastRenderedPageBreak/>
        <w:drawing>
          <wp:inline distT="0" distB="0" distL="0" distR="0" wp14:anchorId="412CD173" wp14:editId="6F6BF98C">
            <wp:extent cx="5040000" cy="24751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ltv_default.png"/>
                    <pic:cNvPicPr/>
                  </pic:nvPicPr>
                  <pic:blipFill>
                    <a:blip r:embed="rId13"/>
                    <a:stretch>
                      <a:fillRect/>
                    </a:stretch>
                  </pic:blipFill>
                  <pic:spPr>
                    <a:xfrm>
                      <a:off x="0" y="0"/>
                      <a:ext cx="5040000" cy="2475191"/>
                    </a:xfrm>
                    <a:prstGeom prst="rect">
                      <a:avLst/>
                    </a:prstGeom>
                  </pic:spPr>
                </pic:pic>
              </a:graphicData>
            </a:graphic>
          </wp:inline>
        </w:drawing>
      </w:r>
    </w:p>
    <w:p w14:paraId="0D6495C1" w14:textId="77777777" w:rsidR="00AB17A0" w:rsidRPr="009B27F6" w:rsidRDefault="00000000">
      <w:pPr>
        <w:jc w:val="center"/>
        <w:rPr>
          <w:lang w:val="es-ES"/>
        </w:rPr>
      </w:pPr>
      <w:r>
        <w:rPr>
          <w:rFonts w:ascii="Times New Roman" w:hAnsi="Times New Roman"/>
          <w:i/>
          <w:sz w:val="20"/>
          <w:lang w:val="es-ES"/>
        </w:rPr>
        <w:t>Figura 6. Tasa de default por bucket de LTV original.</w:t>
      </w:r>
    </w:p>
    <w:p w14:paraId="66D1B2CD" w14:textId="77777777" w:rsidR="00AB17A0" w:rsidRPr="009B27F6" w:rsidRDefault="00AB17A0">
      <w:pPr>
        <w:rPr>
          <w:lang w:val="es-ES"/>
        </w:rPr>
      </w:pPr>
    </w:p>
    <w:p w14:paraId="15C54A53" w14:textId="77777777" w:rsidR="00AB17A0" w:rsidRPr="009B27F6" w:rsidRDefault="00000000">
      <w:pPr>
        <w:rPr>
          <w:lang w:val="es-ES"/>
        </w:rPr>
      </w:pPr>
      <w:r>
        <w:rPr>
          <w:lang w:val="es-ES"/>
        </w:rPr>
        <w:br w:type="page"/>
      </w:r>
    </w:p>
    <w:p w14:paraId="4CC1228D" w14:textId="77777777" w:rsidR="00AB17A0" w:rsidRPr="009B27F6" w:rsidRDefault="00000000">
      <w:pPr>
        <w:pStyle w:val="Ttulo1"/>
        <w:rPr>
          <w:lang w:val="es-ES"/>
        </w:rPr>
      </w:pPr>
      <w:r>
        <w:rPr>
          <w:rFonts w:ascii="Times New Roman" w:hAnsi="Times New Roman"/>
          <w:color w:val="000000"/>
          <w:lang w:val="es-ES"/>
        </w:rPr>
        <w:lastRenderedPageBreak/>
        <w:t>5. Metodología y Pipeline de Análisis</w:t>
      </w:r>
    </w:p>
    <w:p w14:paraId="2857513E" w14:textId="77777777" w:rsidR="00AB17A0" w:rsidRPr="009B27F6" w:rsidRDefault="00000000">
      <w:pPr>
        <w:spacing w:after="120" w:line="360" w:lineRule="exact"/>
        <w:jc w:val="both"/>
        <w:rPr>
          <w:lang w:val="es-ES"/>
        </w:rPr>
      </w:pPr>
      <w:r>
        <w:t xml:space="preserve">El pipeline de análisis fue implementado íntegramente en Python 3, siguiendo una arquitectura modular de diez pasos secuenciales. Los pasos 0 (datos macroeconómicos), 3b (SICR basado en PD) y 5b (ponderación de escenarios) fueron incorporados para alcanzar conformidad plena con IFRS 9 5.5.17(c), 5.5.9 y BIS d350 Principio 6:</w:t>
      </w:r>
    </w:p>
    <w:p>
      <w:pPr>
        <w:pStyle w:val="Listaconnmeros"/>
      </w:pPr>
      <w:r>
        <w:t>Descarga de datos macroeconómicos FRED – FLI (00_macro_data.py)</w:t>
      </w:r>
    </w:p>
    <w:p w14:paraId="38D47F15" w14:textId="77777777" w:rsidR="00AB17A0" w:rsidRPr="009B27F6" w:rsidRDefault="00000000">
      <w:pPr>
        <w:pStyle w:val="Listaconnmeros"/>
        <w:rPr>
          <w:lang w:val="es-ES"/>
        </w:rPr>
      </w:pPr>
      <w:r>
        <w:rPr>
          <w:rFonts w:ascii="Times New Roman" w:hAnsi="Times New Roman"/>
          <w:lang w:val="es-ES"/>
        </w:rPr>
        <w:t>Carga y merge de datos (01_carga_datos.py)</w:t>
      </w:r>
    </w:p>
    <w:p w14:paraId="4B1C0E03" w14:textId="77777777" w:rsidR="00AB17A0" w:rsidRPr="009B27F6" w:rsidRDefault="00000000">
      <w:pPr>
        <w:pStyle w:val="Listaconnmeros"/>
        <w:rPr>
          <w:lang w:val="es-ES"/>
        </w:rPr>
      </w:pPr>
      <w:r>
        <w:rPr>
          <w:rFonts w:ascii="Times New Roman" w:hAnsi="Times New Roman"/>
          <w:lang w:val="es-ES"/>
        </w:rPr>
        <w:t>Definición de default IFRS 9 y clasificación de stages (02_definicion_default.py)</w:t>
      </w:r>
    </w:p>
    <w:p w14:paraId="0E526A93" w14:textId="77777777" w:rsidR="00AB17A0" w:rsidRDefault="00000000">
      <w:pPr>
        <w:pStyle w:val="Listaconnmeros"/>
      </w:pPr>
      <w:r>
        <w:rPr>
          <w:rFonts w:ascii="Times New Roman" w:hAnsi="Times New Roman"/>
        </w:rPr>
        <w:t>Ingeniería de variables (03_feature_engineering.py)</w:t>
      </w:r>
    </w:p>
    <w:p>
      <w:pPr>
        <w:pStyle w:val="Listaconnmeros"/>
      </w:pPr>
      <w:r>
        <w:t>Evaluación SICR basada en PD (03b_sicr_assessment.py)</w:t>
      </w:r>
    </w:p>
    <w:p w14:paraId="0ACF48F2" w14:textId="77777777" w:rsidR="00AB17A0" w:rsidRPr="009B27F6" w:rsidRDefault="00000000">
      <w:pPr>
        <w:pStyle w:val="Listaconnmeros"/>
        <w:rPr>
          <w:lang w:val="es-ES"/>
        </w:rPr>
      </w:pPr>
      <w:r>
        <w:rPr>
          <w:rFonts w:ascii="Times New Roman" w:hAnsi="Times New Roman"/>
          <w:lang w:val="es-ES"/>
        </w:rPr>
        <w:t>Entrenamiento de modelos PD (04_modelado.py)</w:t>
      </w:r>
    </w:p>
    <w:p w14:paraId="4D2E2097" w14:textId="77777777" w:rsidR="00AB17A0" w:rsidRDefault="00000000">
      <w:pPr>
        <w:pStyle w:val="Listaconnmeros"/>
      </w:pPr>
      <w:r>
        <w:rPr>
          <w:rFonts w:ascii="Times New Roman" w:hAnsi="Times New Roman"/>
        </w:rPr>
        <w:t>Calibración PIT y curva Lifetime PD (05_calibracion_lifetime.py)</w:t>
      </w:r>
    </w:p>
    <w:p w14:paraId="7DA50EED" w14:textId="77777777" w:rsidR="00AB17A0" w:rsidRDefault="00000000">
      <w:pPr>
        <w:pStyle w:val="Listaconnmeros"/>
      </w:pPr>
      <w:r>
        <w:rPr>
          <w:rFonts w:ascii="Times New Roman" w:hAnsi="Times New Roman"/>
        </w:rPr>
        <w:t>Validación regulatoria (06_validacion.py)</w:t>
      </w:r>
    </w:p>
    <w:p w14:paraId="403AA4A4" w14:textId="77777777" w:rsidR="00AB17A0" w:rsidRDefault="00000000">
      <w:pPr>
        <w:pStyle w:val="Listaconnmeros"/>
      </w:pPr>
      <w:r>
        <w:rPr>
          <w:rFonts w:ascii="Times New Roman" w:hAnsi="Times New Roman"/>
        </w:rPr>
        <w:t>Explicabilidad SHAP (07_explicabilidad.py)</w:t>
      </w:r>
    </w:p>
    <w:p>
      <w:pPr>
        <w:pStyle w:val="Listaconnmeros"/>
      </w:pPr>
      <w:r>
        <w:t>Explicabilidad SHAP (07_explicabilidad.py)</w:t>
      </w:r>
    </w:p>
    <w:p>
      <w:pPr>
        <w:pStyle w:val="Listaconnmeros"/>
      </w:pPr>
      <w:r>
        <w:t>Validación regulatoria (06_validacion.py)</w:t>
      </w:r>
    </w:p>
    <w:p>
      <w:pPr>
        <w:pStyle w:val="Listaconnmeros"/>
      </w:pPr>
      <w:r>
        <w:t>Calibración PIT y curva Lifetime PD (05_calibracion_lifetime.py)</w:t>
      </w:r>
    </w:p>
    <w:p>
      <w:pPr>
        <w:pStyle w:val="Listaconnmeros"/>
      </w:pPr>
      <w:r>
        <w:t>Ponderación de escenarios macroeconómicos – FLI (05b_scenario_weighting.py)</w:t>
      </w:r>
    </w:p>
    <w:p w14:paraId="24CAFBE0" w14:textId="77777777" w:rsidR="00AB17A0" w:rsidRDefault="00000000">
      <w:pPr>
        <w:pStyle w:val="Ttulo2"/>
      </w:pPr>
      <w:r>
        <w:rPr>
          <w:rFonts w:ascii="Times New Roman" w:hAnsi="Times New Roman"/>
          <w:color w:val="000000"/>
        </w:rPr>
        <w:t>5.1 Carga y Preparación de Datos</w:t>
      </w:r>
    </w:p>
    <w:p w14:paraId="1A2D811E" w14:textId="77777777" w:rsidR="00AB17A0" w:rsidRPr="009B27F6" w:rsidRDefault="00000000">
      <w:pPr>
        <w:spacing w:after="120" w:line="360" w:lineRule="exact"/>
        <w:jc w:val="both"/>
        <w:rPr>
          <w:lang w:val="es-ES"/>
        </w:rPr>
      </w:pPr>
      <w:r>
        <w:rPr>
          <w:rFonts w:ascii="Times New Roman" w:hAnsi="Times New Roman"/>
          <w:sz w:val="24"/>
          <w:lang w:val="es-ES"/>
        </w:rPr>
        <w:t>Los datos son leídos desde los archivos pipe-delimited originales, con todas las columnas cargadas como string para evitar errores de inferencia de tipos. Los códigos sentinel definidos en el User Guide (e.g., 9999 para credit score no disponible, 999 para LTV/DTI/MI) son convertidos a NaN por columna.</w:t>
      </w:r>
    </w:p>
    <w:p w14:paraId="5EBF0CFA" w14:textId="77777777" w:rsidR="00AB17A0" w:rsidRPr="009B27F6" w:rsidRDefault="00000000">
      <w:pPr>
        <w:shd w:val="clear" w:color="auto" w:fill="F2F2F2"/>
        <w:spacing w:before="80" w:after="80"/>
        <w:ind w:left="567"/>
        <w:rPr>
          <w:lang w:val="es-ES"/>
        </w:rPr>
      </w:pPr>
      <w:r>
        <w:rPr>
          <w:rFonts w:ascii="Courier New" w:hAnsi="Courier New"/>
          <w:sz w:val="18"/>
          <w:lang w:val="es-ES"/>
        </w:rPr>
        <w:t># Ejemplo: lectura robusta con tratamiento de sentinels</w:t>
      </w:r>
      <w:r>
        <w:rPr>
          <w:rFonts w:ascii="Courier New" w:hAnsi="Courier New"/>
          <w:sz w:val="18"/>
          <w:lang w:val="es-ES"/>
        </w:rPr>
        <w:br/>
        <w:t>df = pd.read_csv(ruta, sep='|', header=None, names=ORIG_COLS,</w:t>
      </w:r>
      <w:r>
        <w:rPr>
          <w:rFonts w:ascii="Courier New" w:hAnsi="Courier New"/>
          <w:sz w:val="18"/>
          <w:lang w:val="es-ES"/>
        </w:rPr>
        <w:br/>
        <w:t xml:space="preserve">                 dtype=str, na_values=[''], keep_default_na=False)</w:t>
      </w:r>
      <w:r>
        <w:rPr>
          <w:rFonts w:ascii="Courier New" w:hAnsi="Courier New"/>
          <w:sz w:val="18"/>
          <w:lang w:val="es-ES"/>
        </w:rPr>
        <w:br/>
        <w:t>df['credit_score'] = pd.to_numeric(df['credit_score'],</w:t>
      </w:r>
      <w:r>
        <w:rPr>
          <w:rFonts w:ascii="Courier New" w:hAnsi="Courier New"/>
          <w:sz w:val="18"/>
          <w:lang w:val="es-ES"/>
        </w:rPr>
        <w:br/>
        <w:t xml:space="preserve">                     errors='coerce').replace(9999, np.nan)</w:t>
      </w:r>
      <w:r>
        <w:rPr>
          <w:rFonts w:ascii="Courier New" w:hAnsi="Courier New"/>
          <w:sz w:val="18"/>
          <w:lang w:val="es-ES"/>
        </w:rPr>
        <w:br/>
        <w:t>df['original_ltv'] = pd.to_numeric(df['original_ltv'],</w:t>
      </w:r>
      <w:r>
        <w:rPr>
          <w:rFonts w:ascii="Courier New" w:hAnsi="Courier New"/>
          <w:sz w:val="18"/>
          <w:lang w:val="es-ES"/>
        </w:rPr>
        <w:br/>
        <w:t xml:space="preserve">                     errors='coerce').replace(999, np.nan)</w:t>
      </w:r>
    </w:p>
    <w:p w14:paraId="6261ABAF" w14:textId="77777777" w:rsidR="00AB17A0" w:rsidRPr="009B27F6" w:rsidRDefault="00000000">
      <w:pPr>
        <w:spacing w:after="120" w:line="360" w:lineRule="exact"/>
        <w:jc w:val="both"/>
        <w:rPr>
          <w:lang w:val="es-ES"/>
        </w:rPr>
      </w:pPr>
      <w:r>
        <w:rPr>
          <w:rFonts w:ascii="Times New Roman" w:hAnsi="Times New Roman"/>
          <w:sz w:val="24"/>
          <w:lang w:val="es-ES"/>
        </w:rPr>
        <w:t>El panel longitudinal resultante contiene 14,603,212 observaciones mensuales correspondientes a 400,000 préstamos únicos.</w:t>
      </w:r>
    </w:p>
    <w:p w14:paraId="580442BF" w14:textId="77777777" w:rsidR="00AB17A0" w:rsidRPr="009B27F6" w:rsidRDefault="00000000">
      <w:pPr>
        <w:rPr>
          <w:lang w:val="es-ES"/>
        </w:rPr>
      </w:pPr>
      <w:r>
        <w:rPr>
          <w:lang w:val="es-ES"/>
        </w:rPr>
        <w:br w:type="page"/>
      </w:r>
    </w:p>
    <w:p w14:paraId="368181FD" w14:textId="77777777" w:rsidR="00AB17A0" w:rsidRPr="009B27F6" w:rsidRDefault="00000000">
      <w:pPr>
        <w:pStyle w:val="Ttulo1"/>
        <w:rPr>
          <w:lang w:val="es-ES"/>
        </w:rPr>
      </w:pPr>
      <w:r>
        <w:rPr>
          <w:rFonts w:ascii="Times New Roman" w:hAnsi="Times New Roman"/>
          <w:color w:val="000000"/>
          <w:lang w:val="es-ES"/>
        </w:rPr>
        <w:lastRenderedPageBreak/>
        <w:t>6. Definición del Default y Clasificación IFRS 9</w:t>
      </w:r>
    </w:p>
    <w:p w14:paraId="21649044" w14:textId="77777777" w:rsidR="00AB17A0" w:rsidRPr="009B27F6" w:rsidRDefault="00000000">
      <w:pPr>
        <w:shd w:val="clear" w:color="auto" w:fill="F2F2F2"/>
        <w:spacing w:before="80" w:after="80"/>
        <w:ind w:left="567"/>
        <w:rPr>
          <w:lang w:val="es-ES"/>
        </w:rPr>
      </w:pPr>
      <w:r>
        <w:rPr>
          <w:rFonts w:ascii="Courier New" w:hAnsi="Courier New"/>
          <w:sz w:val="18"/>
          <w:lang w:val="es-ES"/>
        </w:rPr>
        <w:t># Definición de default IFRS 9</w:t>
      </w:r>
      <w:r>
        <w:rPr>
          <w:rFonts w:ascii="Courier New" w:hAnsi="Courier New"/>
          <w:sz w:val="18"/>
          <w:lang w:val="es-ES"/>
        </w:rPr>
        <w:br/>
        <w:t>svcg['dpd_numerico'] = pd.to_numeric(</w:t>
      </w:r>
      <w:r>
        <w:rPr>
          <w:rFonts w:ascii="Courier New" w:hAnsi="Courier New"/>
          <w:sz w:val="18"/>
          <w:lang w:val="es-ES"/>
        </w:rPr>
        <w:br/>
        <w:t xml:space="preserve">    svcg['current_loan_delinquency_status'].replace('RA', 99),</w:t>
      </w:r>
      <w:r>
        <w:rPr>
          <w:rFonts w:ascii="Courier New" w:hAnsi="Courier New"/>
          <w:sz w:val="18"/>
          <w:lang w:val="es-ES"/>
        </w:rPr>
        <w:br/>
        <w:t xml:space="preserve">    errors='coerce'</w:t>
      </w:r>
      <w:r>
        <w:rPr>
          <w:rFonts w:ascii="Courier New" w:hAnsi="Courier New"/>
          <w:sz w:val="18"/>
          <w:lang w:val="es-ES"/>
        </w:rPr>
        <w:br/>
        <w:t>)</w:t>
      </w:r>
      <w:r>
        <w:rPr>
          <w:rFonts w:ascii="Courier New" w:hAnsi="Courier New"/>
          <w:sz w:val="18"/>
          <w:lang w:val="es-ES"/>
        </w:rPr>
        <w:br/>
        <w:t>svcg['evento_default'] = (</w:t>
      </w:r>
      <w:r>
        <w:rPr>
          <w:rFonts w:ascii="Courier New" w:hAnsi="Courier New"/>
          <w:sz w:val="18"/>
          <w:lang w:val="es-ES"/>
        </w:rPr>
        <w:br/>
        <w:t xml:space="preserve">    (svcg['dpd_numerico'] &gt;= 3) |        # ≥ 90 DPD</w:t>
      </w:r>
      <w:r>
        <w:rPr>
          <w:rFonts w:ascii="Courier New" w:hAnsi="Courier New"/>
          <w:sz w:val="18"/>
          <w:lang w:val="es-ES"/>
        </w:rPr>
        <w:br/>
        <w:t xml:space="preserve">    svcg['zero_balance_code'].isin({'02','03','09'})</w:t>
      </w:r>
      <w:r>
        <w:rPr>
          <w:rFonts w:ascii="Courier New" w:hAnsi="Courier New"/>
          <w:sz w:val="18"/>
          <w:lang w:val="es-ES"/>
        </w:rPr>
        <w:br/>
        <w:t>)</w:t>
      </w:r>
      <w:r>
        <w:rPr>
          <w:rFonts w:ascii="Courier New" w:hAnsi="Courier New"/>
          <w:sz w:val="18"/>
          <w:lang w:val="es-ES"/>
        </w:rPr>
        <w:br/>
        <w:t># Stage 1: DPD=0 | Stage 2: 1≤DPD&lt;3 | Stage 3: DPD≥3 o default</w:t>
      </w:r>
    </w:p>
    <w:p w14:paraId="29FF53E0" w14:textId="77777777" w:rsidR="00AB17A0" w:rsidRPr="009B27F6" w:rsidRDefault="00000000">
      <w:pPr>
        <w:pStyle w:val="Ttulo2"/>
        <w:rPr>
          <w:lang w:val="es-ES"/>
        </w:rPr>
      </w:pPr>
      <w:r>
        <w:rPr>
          <w:rFonts w:ascii="Times New Roman" w:hAnsi="Times New Roman"/>
          <w:color w:val="000000"/>
          <w:lang w:val="es-ES"/>
        </w:rPr>
        <w:t>6.1 Distribución de Stages IFRS 9</w:t>
      </w:r>
    </w:p>
    <w:p w14:paraId="434183AE" w14:textId="77777777" w:rsidR="00AB17A0" w:rsidRDefault="00000000">
      <w:pPr>
        <w:jc w:val="center"/>
      </w:pPr>
      <w:r>
        <w:rPr>
          <w:rFonts w:ascii="Times New Roman" w:hAnsi="Times New Roman"/>
          <w:i/>
          <w:sz w:val="20"/>
          <w:lang w:val="es-ES"/>
        </w:rPr>
        <w:t xml:space="preserve">Tabla 2. </w:t>
      </w:r>
      <w:r>
        <w:rPr>
          <w:rFonts w:ascii="Times New Roman" w:hAnsi="Times New Roman"/>
          <w:i/>
          <w:sz w:val="20"/>
        </w:rPr>
        <w:t>Distribución de stages IFRS 9</w:t>
      </w:r>
    </w:p>
    <w:tbl>
      <w:tblPr>
        <w:tblStyle w:val="Tablaconcuadrcula"/>
        <w:tblW w:w="0" w:type="auto"/>
        <w:jc w:val="center"/>
        <w:tblLook w:val="04A0" w:firstRow="1" w:lastRow="0" w:firstColumn="1" w:lastColumn="0" w:noHBand="0" w:noVBand="1"/>
      </w:tblPr>
      <w:tblGrid>
        <w:gridCol w:w="3041"/>
        <w:gridCol w:w="3041"/>
        <w:gridCol w:w="3041"/>
      </w:tblGrid>
      <w:tr w:rsidR="00AB17A0" w14:paraId="6F2D9903" w14:textId="77777777">
        <w:trPr>
          <w:jc w:val="center"/>
        </w:trPr>
        <w:tc>
          <w:tcPr>
            <w:tcW w:w="3041" w:type="dxa"/>
            <w:shd w:val="clear" w:color="auto" w:fill="1F4E79"/>
          </w:tcPr>
          <w:p w14:paraId="436572BE" w14:textId="77777777" w:rsidR="00AB17A0" w:rsidRDefault="00000000">
            <w:r>
              <w:rPr>
                <w:rFonts w:ascii="Times New Roman" w:hAnsi="Times New Roman"/>
                <w:b/>
                <w:color w:val="FFFFFF"/>
                <w:sz w:val="18"/>
              </w:rPr>
              <w:t>Stage</w:t>
            </w:r>
          </w:p>
        </w:tc>
        <w:tc>
          <w:tcPr>
            <w:tcW w:w="3041" w:type="dxa"/>
            <w:shd w:val="clear" w:color="auto" w:fill="1F4E79"/>
          </w:tcPr>
          <w:p w14:paraId="25EFB645" w14:textId="77777777" w:rsidR="00AB17A0" w:rsidRDefault="00000000">
            <w:r>
              <w:rPr>
                <w:rFonts w:ascii="Times New Roman" w:hAnsi="Times New Roman"/>
                <w:b/>
                <w:color w:val="FFFFFF"/>
                <w:sz w:val="18"/>
              </w:rPr>
              <w:t>Observaciones</w:t>
            </w:r>
          </w:p>
        </w:tc>
        <w:tc>
          <w:tcPr>
            <w:tcW w:w="3041" w:type="dxa"/>
            <w:shd w:val="clear" w:color="auto" w:fill="1F4E79"/>
          </w:tcPr>
          <w:p w14:paraId="78304756" w14:textId="77777777" w:rsidR="00AB17A0" w:rsidRDefault="00000000">
            <w:r>
              <w:rPr>
                <w:rFonts w:ascii="Times New Roman" w:hAnsi="Times New Roman"/>
                <w:b/>
                <w:color w:val="FFFFFF"/>
                <w:sz w:val="18"/>
              </w:rPr>
              <w:t>Porcentaje (%)</w:t>
            </w:r>
          </w:p>
        </w:tc>
      </w:tr>
      <w:tr w:rsidR="00AB17A0" w14:paraId="06F1B655" w14:textId="77777777">
        <w:trPr>
          <w:jc w:val="center"/>
        </w:trPr>
        <w:tc>
          <w:tcPr>
            <w:tcW w:w="3041" w:type="dxa"/>
            <w:shd w:val="clear" w:color="auto" w:fill="FFFFFF"/>
          </w:tcPr>
          <w:p w14:paraId="43540226" w14:textId="77777777" w:rsidR="00AB17A0" w:rsidRDefault="00000000">
            <w:r>
              <w:rPr>
                <w:rFonts w:ascii="Times New Roman" w:hAnsi="Times New Roman"/>
                <w:sz w:val="18"/>
              </w:rPr>
              <w:t>Stage 1</w:t>
            </w:r>
          </w:p>
        </w:tc>
        <w:tc>
          <w:tcPr>
            <w:tcW w:w="3041" w:type="dxa"/>
            <w:shd w:val="clear" w:color="auto" w:fill="FFFFFF"/>
          </w:tcPr>
          <w:p w14:paraId="08E3419A" w14:textId="77777777" w:rsidR="00AB17A0" w:rsidRDefault="00000000">
            <w:r>
              <w:rPr>
                <w:rFonts w:ascii="Times New Roman" w:hAnsi="Times New Roman"/>
                <w:sz w:val="18"/>
              </w:rPr>
              <w:t>14,328,773</w:t>
            </w:r>
          </w:p>
        </w:tc>
        <w:tc>
          <w:tcPr>
            <w:tcW w:w="3041" w:type="dxa"/>
            <w:shd w:val="clear" w:color="auto" w:fill="FFFFFF"/>
          </w:tcPr>
          <w:p w14:paraId="1158639A" w14:textId="77777777" w:rsidR="00AB17A0" w:rsidRDefault="00000000">
            <w:r>
              <w:rPr>
                <w:rFonts w:ascii="Times New Roman" w:hAnsi="Times New Roman"/>
                <w:sz w:val="18"/>
              </w:rPr>
              <w:t>98.12%</w:t>
            </w:r>
          </w:p>
        </w:tc>
      </w:tr>
      <w:tr w:rsidR="00AB17A0" w14:paraId="66F37418" w14:textId="77777777">
        <w:trPr>
          <w:jc w:val="center"/>
        </w:trPr>
        <w:tc>
          <w:tcPr>
            <w:tcW w:w="3041" w:type="dxa"/>
            <w:shd w:val="clear" w:color="auto" w:fill="E8F0FE"/>
          </w:tcPr>
          <w:p w14:paraId="01EC94E1" w14:textId="77777777" w:rsidR="00AB17A0" w:rsidRDefault="00000000">
            <w:r>
              <w:rPr>
                <w:rFonts w:ascii="Times New Roman" w:hAnsi="Times New Roman"/>
                <w:sz w:val="18"/>
              </w:rPr>
              <w:t>Stage 2</w:t>
            </w:r>
          </w:p>
        </w:tc>
        <w:tc>
          <w:tcPr>
            <w:tcW w:w="3041" w:type="dxa"/>
            <w:shd w:val="clear" w:color="auto" w:fill="E8F0FE"/>
          </w:tcPr>
          <w:p w14:paraId="6C181F7A" w14:textId="77777777" w:rsidR="00AB17A0" w:rsidRDefault="00000000">
            <w:r>
              <w:rPr>
                <w:rFonts w:ascii="Times New Roman" w:hAnsi="Times New Roman"/>
                <w:sz w:val="18"/>
              </w:rPr>
              <w:t>152,758</w:t>
            </w:r>
          </w:p>
        </w:tc>
        <w:tc>
          <w:tcPr>
            <w:tcW w:w="3041" w:type="dxa"/>
            <w:shd w:val="clear" w:color="auto" w:fill="E8F0FE"/>
          </w:tcPr>
          <w:p w14:paraId="747C7DCF" w14:textId="77777777" w:rsidR="00AB17A0" w:rsidRDefault="00000000">
            <w:r>
              <w:rPr>
                <w:rFonts w:ascii="Times New Roman" w:hAnsi="Times New Roman"/>
                <w:sz w:val="18"/>
              </w:rPr>
              <w:t>1.05%</w:t>
            </w:r>
          </w:p>
        </w:tc>
      </w:tr>
      <w:tr w:rsidR="00AB17A0" w14:paraId="41E92209" w14:textId="77777777">
        <w:trPr>
          <w:jc w:val="center"/>
        </w:trPr>
        <w:tc>
          <w:tcPr>
            <w:tcW w:w="3041" w:type="dxa"/>
            <w:shd w:val="clear" w:color="auto" w:fill="FFFFFF"/>
          </w:tcPr>
          <w:p w14:paraId="24B9AD57" w14:textId="77777777" w:rsidR="00AB17A0" w:rsidRDefault="00000000">
            <w:r>
              <w:rPr>
                <w:rFonts w:ascii="Times New Roman" w:hAnsi="Times New Roman"/>
                <w:sz w:val="18"/>
              </w:rPr>
              <w:t>Stage 3</w:t>
            </w:r>
          </w:p>
        </w:tc>
        <w:tc>
          <w:tcPr>
            <w:tcW w:w="3041" w:type="dxa"/>
            <w:shd w:val="clear" w:color="auto" w:fill="FFFFFF"/>
          </w:tcPr>
          <w:p w14:paraId="023B964F" w14:textId="77777777" w:rsidR="00AB17A0" w:rsidRDefault="00000000">
            <w:r>
              <w:rPr>
                <w:rFonts w:ascii="Times New Roman" w:hAnsi="Times New Roman"/>
                <w:sz w:val="18"/>
              </w:rPr>
              <w:t>121,681</w:t>
            </w:r>
          </w:p>
        </w:tc>
        <w:tc>
          <w:tcPr>
            <w:tcW w:w="3041" w:type="dxa"/>
            <w:shd w:val="clear" w:color="auto" w:fill="FFFFFF"/>
          </w:tcPr>
          <w:p w14:paraId="430214EA" w14:textId="77777777" w:rsidR="00AB17A0" w:rsidRDefault="00000000">
            <w:r>
              <w:rPr>
                <w:rFonts w:ascii="Times New Roman" w:hAnsi="Times New Roman"/>
                <w:sz w:val="18"/>
              </w:rPr>
              <w:t>0.83%</w:t>
            </w:r>
          </w:p>
        </w:tc>
      </w:tr>
    </w:tbl>
    <w:p w14:paraId="27CB99A0" w14:textId="77777777" w:rsidR="00AB17A0" w:rsidRDefault="00AB17A0"/>
    <w:p w14:paraId="48D1473F" w14:textId="77777777" w:rsidR="00AB17A0" w:rsidRPr="009B27F6" w:rsidRDefault="00000000">
      <w:pPr>
        <w:spacing w:after="120" w:line="360" w:lineRule="exact"/>
        <w:jc w:val="both"/>
        <w:rPr>
          <w:lang w:val="es-ES"/>
        </w:rPr>
      </w:pPr>
      <w:r>
        <w:rPr>
          <w:rFonts w:ascii="Times New Roman" w:hAnsi="Times New Roman"/>
          <w:sz w:val="24"/>
          <w:lang w:val="es-ES"/>
        </w:rPr>
        <w:t>La tasa de default a 12 meses sobre las observaciones activas (Stage 1 y 2) es de 1.2193%, lo que refleja el carácter desbalanceado típico de las carteras crediticias retail.</w:t>
      </w:r>
    </w:p>
    <w:p>
      <w:pPr>
        <w:pStyle w:val="Ttulo2"/>
      </w:pPr>
      <w:r>
        <w:t xml:space="preserve">6.2 Evaluación SICR basada en PD (IFRS 9 5.5.9 / EBA GL 135-138)</w:t>
      </w:r>
    </w:p>
    <w:p>
      <w:pPr/>
      <w:r>
        <w:t xml:space="preserve">La implementación del SICR adoptada en este trabajo combina el criterio regulatorio basado en la variación de la Probabilidad de Default con el backstop de días en mora previsto en IFRS 9 5.5.11. El módulo 03b_sicr_assessment.py entrena una Regresión Logística sobre las variables disponibles en el momento de originación del préstamo (FICO, LTV, DTI, tasa, plazo, propósito, tipo de propiedad) para estimar la PD_originación. Esta estimación es comparada con la PD_corriente obtenida del modelo XGBoost en cada período de reporte. Un préstamo es clasificado en Stage 2 si:</w:t>
      </w:r>
    </w:p>
    <w:p>
      <w:pPr/>
      <w:r>
        <w:t xml:space="preserve">sicr_flag = (PD_corriente / PD_originación &gt; 2.5)  OR  (PD_corriente − PD_originación &gt; 0.005)  OR  (DPD ≥ 1)
Donde el umbral relativo de 2.5x sigue las recomendaciones de EBA GL párrafos 135-138, y el umbral de 30 DPD actúa únicamente como backstop conforme a IFRS 9 5.5.11. El campo ifrs9_stage_sicr en dataset_modelado.parquet refleja la clasificación revisada para su uso en análisis de escenarios y backtesting.</w:t>
      </w:r>
    </w:p>
    <w:p w14:paraId="1FA7179A" w14:textId="77777777" w:rsidR="00AB17A0" w:rsidRPr="009B27F6" w:rsidRDefault="00000000">
      <w:pPr>
        <w:rPr>
          <w:lang w:val="es-ES"/>
        </w:rPr>
      </w:pPr>
      <w:r>
        <w:rPr>
          <w:lang w:val="es-ES"/>
        </w:rPr>
        <w:br w:type="page"/>
      </w:r>
    </w:p>
    <w:p w14:paraId="68412F02" w14:textId="77777777" w:rsidR="00AB17A0" w:rsidRPr="009B27F6" w:rsidRDefault="00000000">
      <w:pPr>
        <w:pStyle w:val="Ttulo1"/>
        <w:rPr>
          <w:lang w:val="es-ES"/>
        </w:rPr>
      </w:pPr>
      <w:r>
        <w:rPr>
          <w:rFonts w:ascii="Times New Roman" w:hAnsi="Times New Roman"/>
          <w:color w:val="000000"/>
          <w:lang w:val="es-ES"/>
        </w:rPr>
        <w:lastRenderedPageBreak/>
        <w:t>7. Ingeniería de Variables (Feature Engineering)</w:t>
      </w:r>
    </w:p>
    <w:p w14:paraId="27B5452E" w14:textId="77777777" w:rsidR="00AB17A0" w:rsidRPr="009B27F6" w:rsidRDefault="00000000">
      <w:pPr>
        <w:spacing w:after="120" w:line="360" w:lineRule="exact"/>
        <w:jc w:val="both"/>
        <w:rPr>
          <w:lang w:val="es-ES"/>
        </w:rPr>
      </w:pPr>
      <w:r>
        <w:rPr>
          <w:rFonts w:ascii="Times New Roman" w:hAnsi="Times New Roman"/>
          <w:sz w:val="24"/>
          <w:lang w:val="es-ES"/>
        </w:rPr>
        <w:t>Se utilizan dos tipos de variables: estáticas (de originación) y dinámicas (de comportamiento mensual). Las variables de comportamiento son las de mayor poder predictivo bajo el enfoque PIT de IFRS 9.</w:t>
      </w:r>
    </w:p>
    <w:p w14:paraId="702BCD4D" w14:textId="77777777" w:rsidR="00AB17A0" w:rsidRPr="009B27F6" w:rsidRDefault="00000000">
      <w:pPr>
        <w:jc w:val="center"/>
        <w:rPr>
          <w:lang w:val="es-ES"/>
        </w:rPr>
      </w:pPr>
      <w:r>
        <w:rPr>
          <w:rFonts w:ascii="Times New Roman" w:hAnsi="Times New Roman"/>
          <w:i/>
          <w:sz w:val="20"/>
          <w:lang w:val="es-ES"/>
        </w:rPr>
        <w:t>Tabla 3. Variables del modelo PD IFRS 9</w:t>
      </w:r>
    </w:p>
    <w:p>
      <w:pPr>
        <w:pStyle w:val="Ttulo2"/>
      </w:pPr>
      <w:r>
        <w:t>7.1 Variables Macroeconómicas – Forward-Looking Information (IFRS 9 5.5.17c)</w:t>
      </w:r>
    </w:p>
    <w:p>
      <w:pPr/>
      <w:r>
        <w:t>En cumplimiento de IFRS 9 5.5.17(c) y BIS d350 Principio 6 (paras 62-68), el modelo incorpora información prospectiva macroeconómica mediante cinco series descargadas de la base de datos FRED (Federal Reserve Bank of St. Louis) a través del módulo 00_macro_data.py. Las series son procesadas a frecuencia mensual y mergeadas al panel por monthly_reporting_period en el paso de feature engineering (03_feature_engineering.py).</w:t>
      </w:r>
    </w:p>
    <w:p>
      <w:pPr/>
      <w:r>
        <w:t>Tabla 3b. Variables macroeconómicas incorporadas como Forward-Looking Information</w:t>
      </w:r>
    </w:p>
    <w:p>
      <w:pPr/>
      <w:r>
        <w:t>Variable | Serie FRED | Frecuencia | Transformación</w:t>
        <w:br/>
        <w:t>hpi | USSTHPI | Trimestral→Mensual | Forward-fill + variación YoY</w:t>
        <w:br/>
        <w:t>unemployment_rate | UNRATE | Mensual | Directo + variación YoY</w:t>
        <w:br/>
        <w:t>fed_funds_rate | FEDFUNDS | Mensual | Directo</w:t>
        <w:br/>
        <w:t>gdp_real | GDPC1 | Trimestral→Mensual | Forward-fill</w:t>
        <w:br/>
        <w:t>mortgage_rate_30y | MORTGAGE30US | Semanal→Mensual | Promedio mensual</w:t>
      </w:r>
    </w:p>
    <w:p>
      <w:pPr/>
      <w:r>
        <w:t>Las variables hpi_yoy_change y unemployment_yoy_change (cambio interanual) complementan el nivel absoluto para capturar la dirección del ciclo macroeconómico, elemento clave en la evaluación forward-looking de ECL. En ausencia de datos macro (sin clave FRED_API_KEY), estas variables toman valor NaN y son imputadas por el SimpleImputer en el pipeline de sklearn.</w:t>
      </w:r>
    </w:p>
    <w:tbl>
      <w:tblPr>
        <w:tblStyle w:val="Tablaconcuadrcula"/>
        <w:tblW w:w="0" w:type="auto"/>
        <w:jc w:val="center"/>
        <w:tblLook w:val="04A0" w:firstRow="1" w:lastRow="0" w:firstColumn="1" w:lastColumn="0" w:noHBand="0" w:noVBand="1"/>
      </w:tblPr>
      <w:tblGrid>
        <w:gridCol w:w="3041"/>
        <w:gridCol w:w="3041"/>
        <w:gridCol w:w="3041"/>
      </w:tblGrid>
      <w:tr w:rsidR="00AB17A0" w14:paraId="7DE13EE3" w14:textId="77777777">
        <w:trPr>
          <w:jc w:val="center"/>
        </w:trPr>
        <w:tc>
          <w:tcPr>
            <w:tcW w:w="3041" w:type="dxa"/>
            <w:shd w:val="clear" w:color="auto" w:fill="1F4E79"/>
          </w:tcPr>
          <w:p w14:paraId="5B6FE9C6" w14:textId="77777777" w:rsidR="00AB17A0" w:rsidRDefault="00000000">
            <w:r>
              <w:rPr>
                <w:rFonts w:ascii="Times New Roman" w:hAnsi="Times New Roman"/>
                <w:b/>
                <w:color w:val="FFFFFF"/>
                <w:sz w:val="18"/>
              </w:rPr>
              <w:t>Variable</w:t>
            </w:r>
          </w:p>
        </w:tc>
        <w:tc>
          <w:tcPr>
            <w:tcW w:w="3041" w:type="dxa"/>
            <w:shd w:val="clear" w:color="auto" w:fill="1F4E79"/>
          </w:tcPr>
          <w:p w14:paraId="6F6832DC" w14:textId="77777777" w:rsidR="00AB17A0" w:rsidRDefault="00000000">
            <w:r>
              <w:rPr>
                <w:rFonts w:ascii="Times New Roman" w:hAnsi="Times New Roman"/>
                <w:b/>
                <w:color w:val="FFFFFF"/>
                <w:sz w:val="18"/>
              </w:rPr>
              <w:t>Tipo</w:t>
            </w:r>
          </w:p>
        </w:tc>
        <w:tc>
          <w:tcPr>
            <w:tcW w:w="3041" w:type="dxa"/>
            <w:shd w:val="clear" w:color="auto" w:fill="1F4E79"/>
          </w:tcPr>
          <w:p w14:paraId="0B740B46" w14:textId="77777777" w:rsidR="00AB17A0" w:rsidRDefault="00000000">
            <w:r>
              <w:rPr>
                <w:rFonts w:ascii="Times New Roman" w:hAnsi="Times New Roman"/>
                <w:b/>
                <w:color w:val="FFFFFF"/>
                <w:sz w:val="18"/>
              </w:rPr>
              <w:t>Descripción</w:t>
            </w:r>
          </w:p>
        </w:tc>
      </w:tr>
      <w:tr w:rsidR="00AB17A0" w:rsidRPr="00CD57DF" w14:paraId="3AA7D8AF" w14:textId="77777777">
        <w:trPr>
          <w:jc w:val="center"/>
        </w:trPr>
        <w:tc>
          <w:tcPr>
            <w:tcW w:w="3041" w:type="dxa"/>
            <w:shd w:val="clear" w:color="auto" w:fill="FFFFFF"/>
          </w:tcPr>
          <w:p w14:paraId="45368F17" w14:textId="77777777" w:rsidR="00AB17A0" w:rsidRDefault="00000000">
            <w:r>
              <w:rPr>
                <w:rFonts w:ascii="Times New Roman" w:hAnsi="Times New Roman"/>
                <w:sz w:val="18"/>
              </w:rPr>
              <w:t>credit_score</w:t>
            </w:r>
          </w:p>
        </w:tc>
        <w:tc>
          <w:tcPr>
            <w:tcW w:w="3041" w:type="dxa"/>
            <w:shd w:val="clear" w:color="auto" w:fill="FFFFFF"/>
          </w:tcPr>
          <w:p w14:paraId="591C2C50" w14:textId="77777777" w:rsidR="00AB17A0" w:rsidRDefault="00000000">
            <w:r>
              <w:rPr>
                <w:rFonts w:ascii="Times New Roman" w:hAnsi="Times New Roman"/>
                <w:sz w:val="18"/>
              </w:rPr>
              <w:t>Originación</w:t>
            </w:r>
          </w:p>
        </w:tc>
        <w:tc>
          <w:tcPr>
            <w:tcW w:w="3041" w:type="dxa"/>
            <w:shd w:val="clear" w:color="auto" w:fill="FFFFFF"/>
          </w:tcPr>
          <w:p w14:paraId="28DCD36E" w14:textId="77777777" w:rsidR="00AB17A0" w:rsidRPr="009B27F6" w:rsidRDefault="00000000">
            <w:pPr>
              <w:rPr>
                <w:lang w:val="es-ES"/>
              </w:rPr>
            </w:pPr>
            <w:r>
              <w:rPr>
                <w:rFonts w:ascii="Times New Roman" w:hAnsi="Times New Roman"/>
                <w:sz w:val="18"/>
                <w:lang w:val="es-ES"/>
              </w:rPr>
              <w:t>FICO al momento de originación</w:t>
            </w:r>
          </w:p>
        </w:tc>
      </w:tr>
      <w:tr w:rsidR="00AB17A0" w14:paraId="577AAD34" w14:textId="77777777">
        <w:trPr>
          <w:jc w:val="center"/>
        </w:trPr>
        <w:tc>
          <w:tcPr>
            <w:tcW w:w="3041" w:type="dxa"/>
            <w:shd w:val="clear" w:color="auto" w:fill="E8F0FE"/>
          </w:tcPr>
          <w:p w14:paraId="5430947B" w14:textId="77777777" w:rsidR="00AB17A0" w:rsidRDefault="00000000">
            <w:proofErr w:type="spellStart"/>
            <w:r>
              <w:rPr>
                <w:rFonts w:ascii="Times New Roman" w:hAnsi="Times New Roman"/>
                <w:sz w:val="18"/>
              </w:rPr>
              <w:t>original_ltv</w:t>
            </w:r>
            <w:proofErr w:type="spellEnd"/>
          </w:p>
        </w:tc>
        <w:tc>
          <w:tcPr>
            <w:tcW w:w="3041" w:type="dxa"/>
            <w:shd w:val="clear" w:color="auto" w:fill="E8F0FE"/>
          </w:tcPr>
          <w:p w14:paraId="66BD0387" w14:textId="77777777" w:rsidR="00AB17A0" w:rsidRDefault="00000000">
            <w:r>
              <w:rPr>
                <w:rFonts w:ascii="Times New Roman" w:hAnsi="Times New Roman"/>
                <w:sz w:val="18"/>
              </w:rPr>
              <w:t>Originación</w:t>
            </w:r>
          </w:p>
        </w:tc>
        <w:tc>
          <w:tcPr>
            <w:tcW w:w="3041" w:type="dxa"/>
            <w:shd w:val="clear" w:color="auto" w:fill="E8F0FE"/>
          </w:tcPr>
          <w:p w14:paraId="7C3D51DE" w14:textId="77777777" w:rsidR="00AB17A0" w:rsidRDefault="00000000">
            <w:r>
              <w:rPr>
                <w:rFonts w:ascii="Times New Roman" w:hAnsi="Times New Roman"/>
                <w:sz w:val="18"/>
              </w:rPr>
              <w:t>LTV original (%)</w:t>
            </w:r>
          </w:p>
        </w:tc>
      </w:tr>
      <w:tr w:rsidR="00AB17A0" w14:paraId="69A65EFF" w14:textId="77777777">
        <w:trPr>
          <w:jc w:val="center"/>
        </w:trPr>
        <w:tc>
          <w:tcPr>
            <w:tcW w:w="3041" w:type="dxa"/>
            <w:shd w:val="clear" w:color="auto" w:fill="FFFFFF"/>
          </w:tcPr>
          <w:p w14:paraId="185391F7" w14:textId="77777777" w:rsidR="00AB17A0" w:rsidRDefault="00000000">
            <w:r>
              <w:rPr>
                <w:rFonts w:ascii="Times New Roman" w:hAnsi="Times New Roman"/>
                <w:sz w:val="18"/>
              </w:rPr>
              <w:t>original_cltv</w:t>
            </w:r>
          </w:p>
        </w:tc>
        <w:tc>
          <w:tcPr>
            <w:tcW w:w="3041" w:type="dxa"/>
            <w:shd w:val="clear" w:color="auto" w:fill="FFFFFF"/>
          </w:tcPr>
          <w:p w14:paraId="59135DB0" w14:textId="77777777" w:rsidR="00AB17A0" w:rsidRDefault="00000000">
            <w:r>
              <w:rPr>
                <w:rFonts w:ascii="Times New Roman" w:hAnsi="Times New Roman"/>
                <w:sz w:val="18"/>
              </w:rPr>
              <w:t>Originación</w:t>
            </w:r>
          </w:p>
        </w:tc>
        <w:tc>
          <w:tcPr>
            <w:tcW w:w="3041" w:type="dxa"/>
            <w:shd w:val="clear" w:color="auto" w:fill="FFFFFF"/>
          </w:tcPr>
          <w:p w14:paraId="56FE022D" w14:textId="77777777" w:rsidR="00AB17A0" w:rsidRDefault="00000000">
            <w:r>
              <w:rPr>
                <w:rFonts w:ascii="Times New Roman" w:hAnsi="Times New Roman"/>
                <w:sz w:val="18"/>
              </w:rPr>
              <w:t>CLTV original (%)</w:t>
            </w:r>
          </w:p>
        </w:tc>
      </w:tr>
      <w:tr w:rsidR="00AB17A0" w14:paraId="179E9410" w14:textId="77777777">
        <w:trPr>
          <w:jc w:val="center"/>
        </w:trPr>
        <w:tc>
          <w:tcPr>
            <w:tcW w:w="3041" w:type="dxa"/>
            <w:shd w:val="clear" w:color="auto" w:fill="E8F0FE"/>
          </w:tcPr>
          <w:p w14:paraId="2E9756FF" w14:textId="77777777" w:rsidR="00AB17A0" w:rsidRDefault="00000000">
            <w:r>
              <w:rPr>
                <w:rFonts w:ascii="Times New Roman" w:hAnsi="Times New Roman"/>
                <w:sz w:val="18"/>
              </w:rPr>
              <w:t>original_dti</w:t>
            </w:r>
          </w:p>
        </w:tc>
        <w:tc>
          <w:tcPr>
            <w:tcW w:w="3041" w:type="dxa"/>
            <w:shd w:val="clear" w:color="auto" w:fill="E8F0FE"/>
          </w:tcPr>
          <w:p w14:paraId="7EF13FDC" w14:textId="77777777" w:rsidR="00AB17A0" w:rsidRDefault="00000000">
            <w:r>
              <w:rPr>
                <w:rFonts w:ascii="Times New Roman" w:hAnsi="Times New Roman"/>
                <w:sz w:val="18"/>
              </w:rPr>
              <w:t>Originación</w:t>
            </w:r>
          </w:p>
        </w:tc>
        <w:tc>
          <w:tcPr>
            <w:tcW w:w="3041" w:type="dxa"/>
            <w:shd w:val="clear" w:color="auto" w:fill="E8F0FE"/>
          </w:tcPr>
          <w:p w14:paraId="082BE937" w14:textId="77777777" w:rsidR="00AB17A0" w:rsidRDefault="00000000">
            <w:r>
              <w:rPr>
                <w:rFonts w:ascii="Times New Roman" w:hAnsi="Times New Roman"/>
                <w:sz w:val="18"/>
              </w:rPr>
              <w:t>DTI original (%)</w:t>
            </w:r>
          </w:p>
        </w:tc>
      </w:tr>
      <w:tr w:rsidR="00AB17A0" w14:paraId="645B4B68" w14:textId="77777777">
        <w:trPr>
          <w:jc w:val="center"/>
        </w:trPr>
        <w:tc>
          <w:tcPr>
            <w:tcW w:w="3041" w:type="dxa"/>
            <w:shd w:val="clear" w:color="auto" w:fill="FFFFFF"/>
          </w:tcPr>
          <w:p w14:paraId="39A2DC51" w14:textId="77777777" w:rsidR="00AB17A0" w:rsidRDefault="00000000">
            <w:r>
              <w:rPr>
                <w:rFonts w:ascii="Times New Roman" w:hAnsi="Times New Roman"/>
                <w:sz w:val="18"/>
              </w:rPr>
              <w:t>original_interest_rate</w:t>
            </w:r>
          </w:p>
        </w:tc>
        <w:tc>
          <w:tcPr>
            <w:tcW w:w="3041" w:type="dxa"/>
            <w:shd w:val="clear" w:color="auto" w:fill="FFFFFF"/>
          </w:tcPr>
          <w:p w14:paraId="37EAD33D" w14:textId="77777777" w:rsidR="00AB17A0" w:rsidRDefault="00000000">
            <w:r>
              <w:rPr>
                <w:rFonts w:ascii="Times New Roman" w:hAnsi="Times New Roman"/>
                <w:sz w:val="18"/>
              </w:rPr>
              <w:t>Originación</w:t>
            </w:r>
          </w:p>
        </w:tc>
        <w:tc>
          <w:tcPr>
            <w:tcW w:w="3041" w:type="dxa"/>
            <w:shd w:val="clear" w:color="auto" w:fill="FFFFFF"/>
          </w:tcPr>
          <w:p w14:paraId="46B68D66" w14:textId="77777777" w:rsidR="00AB17A0" w:rsidRDefault="00000000">
            <w:r>
              <w:rPr>
                <w:rFonts w:ascii="Times New Roman" w:hAnsi="Times New Roman"/>
                <w:sz w:val="18"/>
              </w:rPr>
              <w:t>Tasa nominal original</w:t>
            </w:r>
          </w:p>
        </w:tc>
      </w:tr>
      <w:tr w:rsidR="00AB17A0" w14:paraId="05CA627B" w14:textId="77777777">
        <w:trPr>
          <w:jc w:val="center"/>
        </w:trPr>
        <w:tc>
          <w:tcPr>
            <w:tcW w:w="3041" w:type="dxa"/>
            <w:shd w:val="clear" w:color="auto" w:fill="E8F0FE"/>
          </w:tcPr>
          <w:p w14:paraId="1D68CE51" w14:textId="77777777" w:rsidR="00AB17A0" w:rsidRDefault="00000000">
            <w:r>
              <w:rPr>
                <w:rFonts w:ascii="Times New Roman" w:hAnsi="Times New Roman"/>
                <w:sz w:val="18"/>
              </w:rPr>
              <w:t>original_loan_term</w:t>
            </w:r>
          </w:p>
        </w:tc>
        <w:tc>
          <w:tcPr>
            <w:tcW w:w="3041" w:type="dxa"/>
            <w:shd w:val="clear" w:color="auto" w:fill="E8F0FE"/>
          </w:tcPr>
          <w:p w14:paraId="58BFC4BA" w14:textId="77777777" w:rsidR="00AB17A0" w:rsidRDefault="00000000">
            <w:r>
              <w:rPr>
                <w:rFonts w:ascii="Times New Roman" w:hAnsi="Times New Roman"/>
                <w:sz w:val="18"/>
              </w:rPr>
              <w:t>Originación</w:t>
            </w:r>
          </w:p>
        </w:tc>
        <w:tc>
          <w:tcPr>
            <w:tcW w:w="3041" w:type="dxa"/>
            <w:shd w:val="clear" w:color="auto" w:fill="E8F0FE"/>
          </w:tcPr>
          <w:p w14:paraId="4FEB0277" w14:textId="77777777" w:rsidR="00AB17A0" w:rsidRDefault="00000000">
            <w:r>
              <w:rPr>
                <w:rFonts w:ascii="Times New Roman" w:hAnsi="Times New Roman"/>
                <w:sz w:val="18"/>
              </w:rPr>
              <w:t>Plazo en meses</w:t>
            </w:r>
          </w:p>
        </w:tc>
      </w:tr>
      <w:tr w:rsidR="00AB17A0" w14:paraId="5ED04BEC" w14:textId="77777777">
        <w:trPr>
          <w:jc w:val="center"/>
        </w:trPr>
        <w:tc>
          <w:tcPr>
            <w:tcW w:w="3041" w:type="dxa"/>
            <w:shd w:val="clear" w:color="auto" w:fill="FFFFFF"/>
          </w:tcPr>
          <w:p w14:paraId="4030B498" w14:textId="77777777" w:rsidR="00AB17A0" w:rsidRDefault="00000000">
            <w:r>
              <w:rPr>
                <w:rFonts w:ascii="Times New Roman" w:hAnsi="Times New Roman"/>
                <w:sz w:val="18"/>
              </w:rPr>
              <w:t>loan_purpose</w:t>
            </w:r>
          </w:p>
        </w:tc>
        <w:tc>
          <w:tcPr>
            <w:tcW w:w="3041" w:type="dxa"/>
            <w:shd w:val="clear" w:color="auto" w:fill="FFFFFF"/>
          </w:tcPr>
          <w:p w14:paraId="278CEFA1" w14:textId="77777777" w:rsidR="00AB17A0" w:rsidRDefault="00000000">
            <w:r>
              <w:rPr>
                <w:rFonts w:ascii="Times New Roman" w:hAnsi="Times New Roman"/>
                <w:sz w:val="18"/>
              </w:rPr>
              <w:t>Originación</w:t>
            </w:r>
          </w:p>
        </w:tc>
        <w:tc>
          <w:tcPr>
            <w:tcW w:w="3041" w:type="dxa"/>
            <w:shd w:val="clear" w:color="auto" w:fill="FFFFFF"/>
          </w:tcPr>
          <w:p w14:paraId="64D1C71B" w14:textId="77777777" w:rsidR="00AB17A0" w:rsidRDefault="00000000">
            <w:r>
              <w:rPr>
                <w:rFonts w:ascii="Times New Roman" w:hAnsi="Times New Roman"/>
                <w:sz w:val="18"/>
              </w:rPr>
              <w:t>Propósito: compra / refinanciación</w:t>
            </w:r>
          </w:p>
        </w:tc>
      </w:tr>
      <w:tr w:rsidR="00AB17A0" w14:paraId="3053EA68" w14:textId="77777777">
        <w:trPr>
          <w:jc w:val="center"/>
        </w:trPr>
        <w:tc>
          <w:tcPr>
            <w:tcW w:w="3041" w:type="dxa"/>
            <w:shd w:val="clear" w:color="auto" w:fill="E8F0FE"/>
          </w:tcPr>
          <w:p w14:paraId="77FD72E6" w14:textId="77777777" w:rsidR="00AB17A0" w:rsidRDefault="00000000">
            <w:r>
              <w:rPr>
                <w:rFonts w:ascii="Times New Roman" w:hAnsi="Times New Roman"/>
                <w:sz w:val="18"/>
              </w:rPr>
              <w:t>occupancy_status</w:t>
            </w:r>
          </w:p>
        </w:tc>
        <w:tc>
          <w:tcPr>
            <w:tcW w:w="3041" w:type="dxa"/>
            <w:shd w:val="clear" w:color="auto" w:fill="E8F0FE"/>
          </w:tcPr>
          <w:p w14:paraId="512DDD69" w14:textId="77777777" w:rsidR="00AB17A0" w:rsidRDefault="00000000">
            <w:r>
              <w:rPr>
                <w:rFonts w:ascii="Times New Roman" w:hAnsi="Times New Roman"/>
                <w:sz w:val="18"/>
              </w:rPr>
              <w:t>Originación</w:t>
            </w:r>
          </w:p>
        </w:tc>
        <w:tc>
          <w:tcPr>
            <w:tcW w:w="3041" w:type="dxa"/>
            <w:shd w:val="clear" w:color="auto" w:fill="E8F0FE"/>
          </w:tcPr>
          <w:p w14:paraId="6793E8B9" w14:textId="77777777" w:rsidR="00AB17A0" w:rsidRDefault="00000000">
            <w:r>
              <w:rPr>
                <w:rFonts w:ascii="Times New Roman" w:hAnsi="Times New Roman"/>
                <w:sz w:val="18"/>
              </w:rPr>
              <w:t>Primaria / Inversión / Segunda</w:t>
            </w:r>
          </w:p>
        </w:tc>
      </w:tr>
      <w:tr w:rsidR="00AB17A0" w14:paraId="28386E24" w14:textId="77777777">
        <w:trPr>
          <w:jc w:val="center"/>
        </w:trPr>
        <w:tc>
          <w:tcPr>
            <w:tcW w:w="3041" w:type="dxa"/>
            <w:shd w:val="clear" w:color="auto" w:fill="FFFFFF"/>
          </w:tcPr>
          <w:p w14:paraId="1E547286" w14:textId="77777777" w:rsidR="00AB17A0" w:rsidRDefault="00000000">
            <w:r>
              <w:rPr>
                <w:rFonts w:ascii="Times New Roman" w:hAnsi="Times New Roman"/>
                <w:sz w:val="18"/>
              </w:rPr>
              <w:t>channel</w:t>
            </w:r>
          </w:p>
        </w:tc>
        <w:tc>
          <w:tcPr>
            <w:tcW w:w="3041" w:type="dxa"/>
            <w:shd w:val="clear" w:color="auto" w:fill="FFFFFF"/>
          </w:tcPr>
          <w:p w14:paraId="28BA30E2" w14:textId="77777777" w:rsidR="00AB17A0" w:rsidRDefault="00000000">
            <w:r>
              <w:rPr>
                <w:rFonts w:ascii="Times New Roman" w:hAnsi="Times New Roman"/>
                <w:sz w:val="18"/>
              </w:rPr>
              <w:t>Originación</w:t>
            </w:r>
          </w:p>
        </w:tc>
        <w:tc>
          <w:tcPr>
            <w:tcW w:w="3041" w:type="dxa"/>
            <w:shd w:val="clear" w:color="auto" w:fill="FFFFFF"/>
          </w:tcPr>
          <w:p w14:paraId="09F21C68" w14:textId="77777777" w:rsidR="00AB17A0" w:rsidRDefault="00000000">
            <w:r>
              <w:rPr>
                <w:rFonts w:ascii="Times New Roman" w:hAnsi="Times New Roman"/>
                <w:sz w:val="18"/>
              </w:rPr>
              <w:t>Canal: Retail / Broker / Correspondent</w:t>
            </w:r>
          </w:p>
        </w:tc>
      </w:tr>
      <w:tr w:rsidR="00AB17A0" w14:paraId="3129AB9A" w14:textId="77777777">
        <w:trPr>
          <w:jc w:val="center"/>
        </w:trPr>
        <w:tc>
          <w:tcPr>
            <w:tcW w:w="3041" w:type="dxa"/>
            <w:shd w:val="clear" w:color="auto" w:fill="E8F0FE"/>
          </w:tcPr>
          <w:p w14:paraId="17E622F0" w14:textId="77777777" w:rsidR="00AB17A0" w:rsidRDefault="00000000">
            <w:r>
              <w:rPr>
                <w:rFonts w:ascii="Times New Roman" w:hAnsi="Times New Roman"/>
                <w:sz w:val="18"/>
              </w:rPr>
              <w:t>loan_age</w:t>
            </w:r>
          </w:p>
        </w:tc>
        <w:tc>
          <w:tcPr>
            <w:tcW w:w="3041" w:type="dxa"/>
            <w:shd w:val="clear" w:color="auto" w:fill="E8F0FE"/>
          </w:tcPr>
          <w:p w14:paraId="72D70C14" w14:textId="77777777" w:rsidR="00AB17A0" w:rsidRDefault="00000000">
            <w:r>
              <w:rPr>
                <w:rFonts w:ascii="Times New Roman" w:hAnsi="Times New Roman"/>
                <w:sz w:val="18"/>
              </w:rPr>
              <w:t>Comportamiento</w:t>
            </w:r>
          </w:p>
        </w:tc>
        <w:tc>
          <w:tcPr>
            <w:tcW w:w="3041" w:type="dxa"/>
            <w:shd w:val="clear" w:color="auto" w:fill="E8F0FE"/>
          </w:tcPr>
          <w:p w14:paraId="3EF752A0" w14:textId="77777777" w:rsidR="00AB17A0" w:rsidRDefault="00000000">
            <w:r>
              <w:rPr>
                <w:rFonts w:ascii="Times New Roman" w:hAnsi="Times New Roman"/>
                <w:sz w:val="18"/>
              </w:rPr>
              <w:t>Antigüedad del préstamo (meses)</w:t>
            </w:r>
          </w:p>
        </w:tc>
      </w:tr>
      <w:tr w:rsidR="00AB17A0" w14:paraId="1A95C383" w14:textId="77777777">
        <w:trPr>
          <w:jc w:val="center"/>
        </w:trPr>
        <w:tc>
          <w:tcPr>
            <w:tcW w:w="3041" w:type="dxa"/>
            <w:shd w:val="clear" w:color="auto" w:fill="FFFFFF"/>
          </w:tcPr>
          <w:p w14:paraId="26A906DE" w14:textId="77777777" w:rsidR="00AB17A0" w:rsidRDefault="00000000">
            <w:r>
              <w:rPr>
                <w:rFonts w:ascii="Times New Roman" w:hAnsi="Times New Roman"/>
                <w:sz w:val="18"/>
              </w:rPr>
              <w:t>dpd_numerico</w:t>
            </w:r>
          </w:p>
        </w:tc>
        <w:tc>
          <w:tcPr>
            <w:tcW w:w="3041" w:type="dxa"/>
            <w:shd w:val="clear" w:color="auto" w:fill="FFFFFF"/>
          </w:tcPr>
          <w:p w14:paraId="3D7936E9" w14:textId="77777777" w:rsidR="00AB17A0" w:rsidRDefault="00000000">
            <w:r>
              <w:rPr>
                <w:rFonts w:ascii="Times New Roman" w:hAnsi="Times New Roman"/>
                <w:sz w:val="18"/>
              </w:rPr>
              <w:t>Comportamiento</w:t>
            </w:r>
          </w:p>
        </w:tc>
        <w:tc>
          <w:tcPr>
            <w:tcW w:w="3041" w:type="dxa"/>
            <w:shd w:val="clear" w:color="auto" w:fill="FFFFFF"/>
          </w:tcPr>
          <w:p w14:paraId="6E3C4E53" w14:textId="77777777" w:rsidR="00AB17A0" w:rsidRDefault="00000000">
            <w:r>
              <w:rPr>
                <w:rFonts w:ascii="Times New Roman" w:hAnsi="Times New Roman"/>
                <w:sz w:val="18"/>
              </w:rPr>
              <w:t>DPD del período corriente</w:t>
            </w:r>
          </w:p>
        </w:tc>
      </w:tr>
      <w:tr w:rsidR="00AB17A0" w14:paraId="1FB6342D" w14:textId="77777777">
        <w:trPr>
          <w:jc w:val="center"/>
        </w:trPr>
        <w:tc>
          <w:tcPr>
            <w:tcW w:w="3041" w:type="dxa"/>
            <w:shd w:val="clear" w:color="auto" w:fill="E8F0FE"/>
          </w:tcPr>
          <w:p w14:paraId="7E7A27B7" w14:textId="77777777" w:rsidR="00AB17A0" w:rsidRDefault="00000000">
            <w:r>
              <w:rPr>
                <w:rFonts w:ascii="Times New Roman" w:hAnsi="Times New Roman"/>
                <w:sz w:val="18"/>
              </w:rPr>
              <w:t>max_dpd_3m</w:t>
            </w:r>
          </w:p>
        </w:tc>
        <w:tc>
          <w:tcPr>
            <w:tcW w:w="3041" w:type="dxa"/>
            <w:shd w:val="clear" w:color="auto" w:fill="E8F0FE"/>
          </w:tcPr>
          <w:p w14:paraId="2F52A15A" w14:textId="77777777" w:rsidR="00AB17A0" w:rsidRDefault="00000000">
            <w:r>
              <w:rPr>
                <w:rFonts w:ascii="Times New Roman" w:hAnsi="Times New Roman"/>
                <w:sz w:val="18"/>
              </w:rPr>
              <w:t>Comportamiento</w:t>
            </w:r>
          </w:p>
        </w:tc>
        <w:tc>
          <w:tcPr>
            <w:tcW w:w="3041" w:type="dxa"/>
            <w:shd w:val="clear" w:color="auto" w:fill="E8F0FE"/>
          </w:tcPr>
          <w:p w14:paraId="1004B591" w14:textId="77777777" w:rsidR="00AB17A0" w:rsidRDefault="00000000">
            <w:r>
              <w:rPr>
                <w:rFonts w:ascii="Times New Roman" w:hAnsi="Times New Roman"/>
                <w:sz w:val="18"/>
              </w:rPr>
              <w:t>Máximo DPD últimos 3 meses</w:t>
            </w:r>
          </w:p>
        </w:tc>
      </w:tr>
      <w:tr w:rsidR="00AB17A0" w14:paraId="2D81DC43" w14:textId="77777777">
        <w:trPr>
          <w:jc w:val="center"/>
        </w:trPr>
        <w:tc>
          <w:tcPr>
            <w:tcW w:w="3041" w:type="dxa"/>
            <w:shd w:val="clear" w:color="auto" w:fill="FFFFFF"/>
          </w:tcPr>
          <w:p w14:paraId="2BFC542D" w14:textId="77777777" w:rsidR="00AB17A0" w:rsidRDefault="00000000">
            <w:r>
              <w:rPr>
                <w:rFonts w:ascii="Times New Roman" w:hAnsi="Times New Roman"/>
                <w:sz w:val="18"/>
              </w:rPr>
              <w:t>max_dpd_6m</w:t>
            </w:r>
          </w:p>
        </w:tc>
        <w:tc>
          <w:tcPr>
            <w:tcW w:w="3041" w:type="dxa"/>
            <w:shd w:val="clear" w:color="auto" w:fill="FFFFFF"/>
          </w:tcPr>
          <w:p w14:paraId="0A36142C" w14:textId="77777777" w:rsidR="00AB17A0" w:rsidRDefault="00000000">
            <w:r>
              <w:rPr>
                <w:rFonts w:ascii="Times New Roman" w:hAnsi="Times New Roman"/>
                <w:sz w:val="18"/>
              </w:rPr>
              <w:t>Comportamiento</w:t>
            </w:r>
          </w:p>
        </w:tc>
        <w:tc>
          <w:tcPr>
            <w:tcW w:w="3041" w:type="dxa"/>
            <w:shd w:val="clear" w:color="auto" w:fill="FFFFFF"/>
          </w:tcPr>
          <w:p w14:paraId="57B09CF2" w14:textId="77777777" w:rsidR="00AB17A0" w:rsidRDefault="00000000">
            <w:r>
              <w:rPr>
                <w:rFonts w:ascii="Times New Roman" w:hAnsi="Times New Roman"/>
                <w:sz w:val="18"/>
              </w:rPr>
              <w:t>Máximo DPD últimos 6 meses</w:t>
            </w:r>
          </w:p>
        </w:tc>
      </w:tr>
      <w:tr w:rsidR="00AB17A0" w14:paraId="15467869" w14:textId="77777777">
        <w:trPr>
          <w:jc w:val="center"/>
        </w:trPr>
        <w:tc>
          <w:tcPr>
            <w:tcW w:w="3041" w:type="dxa"/>
            <w:shd w:val="clear" w:color="auto" w:fill="E8F0FE"/>
          </w:tcPr>
          <w:p w14:paraId="69EBC2D7" w14:textId="77777777" w:rsidR="00AB17A0" w:rsidRDefault="00000000">
            <w:r>
              <w:rPr>
                <w:rFonts w:ascii="Times New Roman" w:hAnsi="Times New Roman"/>
                <w:sz w:val="18"/>
              </w:rPr>
              <w:t>max_dpd_12m</w:t>
            </w:r>
          </w:p>
        </w:tc>
        <w:tc>
          <w:tcPr>
            <w:tcW w:w="3041" w:type="dxa"/>
            <w:shd w:val="clear" w:color="auto" w:fill="E8F0FE"/>
          </w:tcPr>
          <w:p w14:paraId="149E9D68" w14:textId="77777777" w:rsidR="00AB17A0" w:rsidRDefault="00000000">
            <w:r>
              <w:rPr>
                <w:rFonts w:ascii="Times New Roman" w:hAnsi="Times New Roman"/>
                <w:sz w:val="18"/>
              </w:rPr>
              <w:t>Comportamiento</w:t>
            </w:r>
          </w:p>
        </w:tc>
        <w:tc>
          <w:tcPr>
            <w:tcW w:w="3041" w:type="dxa"/>
            <w:shd w:val="clear" w:color="auto" w:fill="E8F0FE"/>
          </w:tcPr>
          <w:p w14:paraId="24095674" w14:textId="77777777" w:rsidR="00AB17A0" w:rsidRDefault="00000000">
            <w:r>
              <w:rPr>
                <w:rFonts w:ascii="Times New Roman" w:hAnsi="Times New Roman"/>
                <w:sz w:val="18"/>
              </w:rPr>
              <w:t>Máximo DPD últimos 12 meses</w:t>
            </w:r>
          </w:p>
        </w:tc>
      </w:tr>
      <w:tr w:rsidR="00AB17A0" w:rsidRPr="00CD57DF" w14:paraId="13A036F2" w14:textId="77777777">
        <w:trPr>
          <w:jc w:val="center"/>
        </w:trPr>
        <w:tc>
          <w:tcPr>
            <w:tcW w:w="3041" w:type="dxa"/>
            <w:shd w:val="clear" w:color="auto" w:fill="FFFFFF"/>
          </w:tcPr>
          <w:p w14:paraId="4B860692" w14:textId="77777777" w:rsidR="00AB17A0" w:rsidRDefault="00000000">
            <w:r>
              <w:rPr>
                <w:rFonts w:ascii="Times New Roman" w:hAnsi="Times New Roman"/>
                <w:sz w:val="18"/>
              </w:rPr>
              <w:t>estimated_loan_to_value_eltv</w:t>
            </w:r>
          </w:p>
        </w:tc>
        <w:tc>
          <w:tcPr>
            <w:tcW w:w="3041" w:type="dxa"/>
            <w:shd w:val="clear" w:color="auto" w:fill="FFFFFF"/>
          </w:tcPr>
          <w:p w14:paraId="6FB6F23E" w14:textId="77777777" w:rsidR="00AB17A0" w:rsidRDefault="00000000">
            <w:r>
              <w:rPr>
                <w:rFonts w:ascii="Times New Roman" w:hAnsi="Times New Roman"/>
                <w:sz w:val="18"/>
              </w:rPr>
              <w:t>Comportamiento</w:t>
            </w:r>
          </w:p>
        </w:tc>
        <w:tc>
          <w:tcPr>
            <w:tcW w:w="3041" w:type="dxa"/>
            <w:shd w:val="clear" w:color="auto" w:fill="FFFFFF"/>
          </w:tcPr>
          <w:p w14:paraId="5878213E" w14:textId="77777777" w:rsidR="00AB17A0" w:rsidRPr="009B27F6" w:rsidRDefault="00000000">
            <w:pPr>
              <w:rPr>
                <w:lang w:val="es-ES"/>
              </w:rPr>
            </w:pPr>
            <w:r>
              <w:rPr>
                <w:rFonts w:ascii="Times New Roman" w:hAnsi="Times New Roman"/>
                <w:sz w:val="18"/>
                <w:lang w:val="es-ES"/>
              </w:rPr>
              <w:t>LTV estimado AVM (desde abr-2017)</w:t>
            </w:r>
          </w:p>
        </w:tc>
      </w:tr>
      <w:tr w:rsidR="00AB17A0" w14:paraId="1A8E40E6" w14:textId="77777777">
        <w:trPr>
          <w:jc w:val="center"/>
        </w:trPr>
        <w:tc>
          <w:tcPr>
            <w:tcW w:w="3041" w:type="dxa"/>
            <w:shd w:val="clear" w:color="auto" w:fill="E8F0FE"/>
          </w:tcPr>
          <w:p w14:paraId="04689937" w14:textId="77777777" w:rsidR="00AB17A0" w:rsidRDefault="00000000">
            <w:proofErr w:type="spellStart"/>
            <w:r>
              <w:rPr>
                <w:rFonts w:ascii="Times New Roman" w:hAnsi="Times New Roman"/>
                <w:sz w:val="18"/>
              </w:rPr>
              <w:t>spread_tasa</w:t>
            </w:r>
            <w:proofErr w:type="spellEnd"/>
          </w:p>
        </w:tc>
        <w:tc>
          <w:tcPr>
            <w:tcW w:w="3041" w:type="dxa"/>
            <w:shd w:val="clear" w:color="auto" w:fill="E8F0FE"/>
          </w:tcPr>
          <w:p w14:paraId="3BCA8868" w14:textId="77777777" w:rsidR="00AB17A0" w:rsidRDefault="00000000">
            <w:r>
              <w:rPr>
                <w:rFonts w:ascii="Times New Roman" w:hAnsi="Times New Roman"/>
                <w:sz w:val="18"/>
              </w:rPr>
              <w:t>Comportamiento</w:t>
            </w:r>
          </w:p>
        </w:tc>
        <w:tc>
          <w:tcPr>
            <w:tcW w:w="3041" w:type="dxa"/>
            <w:shd w:val="clear" w:color="auto" w:fill="E8F0FE"/>
          </w:tcPr>
          <w:p w14:paraId="63DFC4D0" w14:textId="77777777" w:rsidR="00AB17A0" w:rsidRDefault="00000000">
            <w:r>
              <w:rPr>
                <w:rFonts w:ascii="Times New Roman" w:hAnsi="Times New Roman"/>
                <w:sz w:val="18"/>
              </w:rPr>
              <w:t>Tasa corriente − Tasa original</w:t>
            </w:r>
          </w:p>
        </w:tc>
      </w:tr>
      <w:tr w:rsidR="00AB17A0" w14:paraId="26BDBDB0" w14:textId="77777777">
        <w:trPr>
          <w:jc w:val="center"/>
        </w:trPr>
        <w:tc>
          <w:tcPr>
            <w:tcW w:w="3041" w:type="dxa"/>
            <w:shd w:val="clear" w:color="auto" w:fill="FFFFFF"/>
          </w:tcPr>
          <w:p w14:paraId="5E5C6928" w14:textId="77777777" w:rsidR="00AB17A0" w:rsidRDefault="00000000">
            <w:r>
              <w:rPr>
                <w:rFonts w:ascii="Times New Roman" w:hAnsi="Times New Roman"/>
                <w:sz w:val="18"/>
              </w:rPr>
              <w:t>amortizacion_upb</w:t>
            </w:r>
          </w:p>
        </w:tc>
        <w:tc>
          <w:tcPr>
            <w:tcW w:w="3041" w:type="dxa"/>
            <w:shd w:val="clear" w:color="auto" w:fill="FFFFFF"/>
          </w:tcPr>
          <w:p w14:paraId="1A3B06D0" w14:textId="77777777" w:rsidR="00AB17A0" w:rsidRDefault="00000000">
            <w:r>
              <w:rPr>
                <w:rFonts w:ascii="Times New Roman" w:hAnsi="Times New Roman"/>
                <w:sz w:val="18"/>
              </w:rPr>
              <w:t>Comportamiento</w:t>
            </w:r>
          </w:p>
        </w:tc>
        <w:tc>
          <w:tcPr>
            <w:tcW w:w="3041" w:type="dxa"/>
            <w:shd w:val="clear" w:color="auto" w:fill="FFFFFF"/>
          </w:tcPr>
          <w:p w14:paraId="658126E3" w14:textId="77777777" w:rsidR="00AB17A0" w:rsidRDefault="00000000">
            <w:r>
              <w:rPr>
                <w:rFonts w:ascii="Times New Roman" w:hAnsi="Times New Roman"/>
                <w:sz w:val="18"/>
              </w:rPr>
              <w:t>Amortización relativa del saldo</w:t>
            </w:r>
          </w:p>
        </w:tc>
      </w:tr>
      <w:tr w:rsidR="00AB17A0" w14:paraId="140489FD" w14:textId="77777777">
        <w:trPr>
          <w:jc w:val="center"/>
        </w:trPr>
        <w:tc>
          <w:tcPr>
            <w:tcW w:w="3041" w:type="dxa"/>
            <w:shd w:val="clear" w:color="auto" w:fill="E8F0FE"/>
          </w:tcPr>
          <w:p w14:paraId="5822E001" w14:textId="77777777" w:rsidR="00AB17A0" w:rsidRDefault="00000000">
            <w:r>
              <w:rPr>
                <w:rFonts w:ascii="Times New Roman" w:hAnsi="Times New Roman"/>
                <w:sz w:val="18"/>
              </w:rPr>
              <w:t>fue_modificado</w:t>
            </w:r>
          </w:p>
        </w:tc>
        <w:tc>
          <w:tcPr>
            <w:tcW w:w="3041" w:type="dxa"/>
            <w:shd w:val="clear" w:color="auto" w:fill="E8F0FE"/>
          </w:tcPr>
          <w:p w14:paraId="4CF862C0" w14:textId="77777777" w:rsidR="00AB17A0" w:rsidRDefault="00000000">
            <w:r>
              <w:rPr>
                <w:rFonts w:ascii="Times New Roman" w:hAnsi="Times New Roman"/>
                <w:sz w:val="18"/>
              </w:rPr>
              <w:t>Comportamiento</w:t>
            </w:r>
          </w:p>
        </w:tc>
        <w:tc>
          <w:tcPr>
            <w:tcW w:w="3041" w:type="dxa"/>
            <w:shd w:val="clear" w:color="auto" w:fill="E8F0FE"/>
          </w:tcPr>
          <w:p w14:paraId="6FF1382A" w14:textId="77777777" w:rsidR="00AB17A0" w:rsidRDefault="00000000">
            <w:r>
              <w:rPr>
                <w:rFonts w:ascii="Times New Roman" w:hAnsi="Times New Roman"/>
                <w:sz w:val="18"/>
              </w:rPr>
              <w:t>Flag: préstamo modificado (binario)</w:t>
            </w:r>
          </w:p>
        </w:tc>
      </w:tr>
      <w:tr w:rsidR="00AB17A0" w:rsidRPr="00CD57DF" w14:paraId="455082C7" w14:textId="77777777">
        <w:trPr>
          <w:jc w:val="center"/>
        </w:trPr>
        <w:tc>
          <w:tcPr>
            <w:tcW w:w="3041" w:type="dxa"/>
            <w:shd w:val="clear" w:color="auto" w:fill="FFFFFF"/>
          </w:tcPr>
          <w:p w14:paraId="0D2E6397" w14:textId="77777777" w:rsidR="00AB17A0" w:rsidRDefault="00000000">
            <w:r>
              <w:rPr>
                <w:rFonts w:ascii="Times New Roman" w:hAnsi="Times New Roman"/>
                <w:sz w:val="18"/>
              </w:rPr>
              <w:t>tiene_deferral</w:t>
            </w:r>
          </w:p>
        </w:tc>
        <w:tc>
          <w:tcPr>
            <w:tcW w:w="3041" w:type="dxa"/>
            <w:shd w:val="clear" w:color="auto" w:fill="FFFFFF"/>
          </w:tcPr>
          <w:p w14:paraId="47AF3F91" w14:textId="77777777" w:rsidR="00AB17A0" w:rsidRDefault="00000000">
            <w:r>
              <w:rPr>
                <w:rFonts w:ascii="Times New Roman" w:hAnsi="Times New Roman"/>
                <w:sz w:val="18"/>
              </w:rPr>
              <w:t>Comportamiento</w:t>
            </w:r>
          </w:p>
        </w:tc>
        <w:tc>
          <w:tcPr>
            <w:tcW w:w="3041" w:type="dxa"/>
            <w:shd w:val="clear" w:color="auto" w:fill="FFFFFF"/>
          </w:tcPr>
          <w:p w14:paraId="292681DB" w14:textId="77777777" w:rsidR="00AB17A0" w:rsidRPr="009B27F6" w:rsidRDefault="00000000">
            <w:pPr>
              <w:rPr>
                <w:lang w:val="es-ES"/>
              </w:rPr>
            </w:pPr>
            <w:r>
              <w:rPr>
                <w:rFonts w:ascii="Times New Roman" w:hAnsi="Times New Roman"/>
                <w:sz w:val="18"/>
                <w:lang w:val="es-ES"/>
              </w:rPr>
              <w:t>Flag: diferimiento de pagos (binario)</w:t>
            </w:r>
          </w:p>
        </w:tc>
      </w:tr>
    </w:tbl>
    <w:p w14:paraId="3CB5EC6D" w14:textId="77777777" w:rsidR="00AB17A0" w:rsidRPr="009B27F6" w:rsidRDefault="00AB17A0">
      <w:pPr>
        <w:rPr>
          <w:lang w:val="es-ES"/>
        </w:rPr>
      </w:pPr>
    </w:p>
    <w:p w14:paraId="2A3BED29" w14:textId="77777777" w:rsidR="00AB17A0" w:rsidRPr="009B27F6" w:rsidRDefault="00000000">
      <w:pPr>
        <w:spacing w:after="120" w:line="360" w:lineRule="exact"/>
        <w:jc w:val="both"/>
        <w:rPr>
          <w:lang w:val="es-ES"/>
        </w:rPr>
      </w:pPr>
      <w:r>
        <w:rPr>
          <w:rFonts w:ascii="Times New Roman" w:hAnsi="Times New Roman"/>
          <w:sz w:val="24"/>
          <w:lang w:val="es-ES"/>
        </w:rPr>
        <w:t>El dataset de modelado (Stage 1 y 2 únicamente) contiene 14,481,531 observaciones, con una tasa de default a 12 meses de 1.2193%.</w:t>
      </w:r>
    </w:p>
    <w:p w14:paraId="58061662" w14:textId="77777777" w:rsidR="00AB17A0" w:rsidRPr="009B27F6" w:rsidRDefault="00000000">
      <w:pPr>
        <w:rPr>
          <w:lang w:val="es-ES"/>
        </w:rPr>
      </w:pPr>
      <w:r>
        <w:rPr>
          <w:lang w:val="es-ES"/>
        </w:rPr>
        <w:br w:type="page"/>
      </w:r>
    </w:p>
    <w:p w14:paraId="7C959B4B" w14:textId="77777777" w:rsidR="00AB17A0" w:rsidRPr="009B27F6" w:rsidRDefault="00000000">
      <w:pPr>
        <w:pStyle w:val="Ttulo1"/>
        <w:rPr>
          <w:lang w:val="es-ES"/>
        </w:rPr>
      </w:pPr>
      <w:r>
        <w:rPr>
          <w:rFonts w:ascii="Times New Roman" w:hAnsi="Times New Roman"/>
          <w:color w:val="000000"/>
          <w:lang w:val="es-ES"/>
        </w:rPr>
        <w:lastRenderedPageBreak/>
        <w:t>8. Modelado – Entrenamiento y Comparación de Modelos PD</w:t>
      </w:r>
    </w:p>
    <w:p w14:paraId="12738974" w14:textId="77777777" w:rsidR="00AB17A0" w:rsidRPr="009B27F6" w:rsidRDefault="00000000">
      <w:pPr>
        <w:spacing w:after="120" w:line="360" w:lineRule="exact"/>
        <w:jc w:val="both"/>
        <w:rPr>
          <w:lang w:val="es-ES"/>
        </w:rPr>
      </w:pPr>
      <w:r>
        <w:rPr>
          <w:rFonts w:ascii="Times New Roman" w:hAnsi="Times New Roman"/>
          <w:sz w:val="24"/>
          <w:lang w:val="es-ES"/>
        </w:rPr>
        <w:t>Se entrenan tres modelos bajo el esquema de validación temporal out-of-time:</w:t>
      </w:r>
    </w:p>
    <w:p w14:paraId="756CEEB2" w14:textId="77777777" w:rsidR="00AB17A0" w:rsidRPr="009B27F6" w:rsidRDefault="00000000">
      <w:pPr>
        <w:pStyle w:val="Listaconvietas"/>
        <w:rPr>
          <w:lang w:val="es-ES"/>
        </w:rPr>
      </w:pPr>
      <w:r>
        <w:rPr>
          <w:rFonts w:ascii="Times New Roman" w:hAnsi="Times New Roman"/>
          <w:b/>
          <w:lang w:val="es-ES"/>
        </w:rPr>
        <w:t xml:space="preserve">Regresión Logística: </w:t>
      </w:r>
      <w:r>
        <w:rPr>
          <w:rFonts w:ascii="Times New Roman" w:hAnsi="Times New Roman"/>
          <w:lang w:val="es-ES"/>
        </w:rPr>
        <w:t>Modelo regulatorio de referencia. Interpretable y requerido por las guías EBA para auditoría.</w:t>
      </w:r>
    </w:p>
    <w:p w14:paraId="6F0E0E69" w14:textId="77777777" w:rsidR="00AB17A0" w:rsidRDefault="00000000">
      <w:pPr>
        <w:pStyle w:val="Listaconvietas"/>
      </w:pPr>
      <w:r>
        <w:rPr>
          <w:rFonts w:ascii="Times New Roman" w:hAnsi="Times New Roman"/>
          <w:b/>
          <w:lang w:val="es-ES"/>
        </w:rPr>
        <w:t xml:space="preserve">XGBoost: </w:t>
      </w:r>
      <w:r>
        <w:rPr>
          <w:rFonts w:ascii="Times New Roman" w:hAnsi="Times New Roman"/>
          <w:lang w:val="es-ES"/>
        </w:rPr>
        <w:t xml:space="preserve">Gradient Boosting Machine. Captura no linealidades y efectos de interacción. </w:t>
      </w:r>
      <w:r>
        <w:rPr>
          <w:rFonts w:ascii="Times New Roman" w:hAnsi="Times New Roman"/>
        </w:rPr>
        <w:t>Modelo principal.</w:t>
      </w:r>
    </w:p>
    <w:p w14:paraId="094BB3C8" w14:textId="77777777" w:rsidR="00AB17A0" w:rsidRPr="009B27F6" w:rsidRDefault="00000000">
      <w:pPr>
        <w:pStyle w:val="Listaconvietas"/>
        <w:rPr>
          <w:lang w:val="es-ES"/>
        </w:rPr>
      </w:pPr>
      <w:r>
        <w:rPr>
          <w:rFonts w:ascii="Times New Roman" w:hAnsi="Times New Roman"/>
          <w:b/>
          <w:lang w:val="es-ES"/>
        </w:rPr>
        <w:t xml:space="preserve">Random Forest: </w:t>
      </w:r>
      <w:r>
        <w:rPr>
          <w:rFonts w:ascii="Times New Roman" w:hAnsi="Times New Roman"/>
          <w:lang w:val="es-ES"/>
        </w:rPr>
        <w:t>Ensemble de árboles de decisión. Reduce varianza y sirve como validación cruzada del XGBoost.</w:t>
      </w:r>
    </w:p>
    <w:p w14:paraId="383CA6D8" w14:textId="77777777" w:rsidR="00AB17A0" w:rsidRPr="009B27F6" w:rsidRDefault="00000000">
      <w:pPr>
        <w:spacing w:after="120" w:line="360" w:lineRule="exact"/>
        <w:jc w:val="both"/>
        <w:rPr>
          <w:lang w:val="es-ES"/>
        </w:rPr>
      </w:pPr>
      <w:r>
        <w:rPr>
          <w:rFonts w:ascii="Times New Roman" w:hAnsi="Times New Roman"/>
          <w:sz w:val="24"/>
          <w:lang w:val="es-ES"/>
        </w:rPr>
        <w:t>La partición temporal es: Entrenamiento (vintages 2016–2020), Validación (2022–2023), Test (2024). El vintage 2021 no está disponible en el dataset descargado.</w:t>
      </w:r>
    </w:p>
    <w:p w14:paraId="09D9863D" w14:textId="77777777" w:rsidR="00AB17A0" w:rsidRPr="009B27F6" w:rsidRDefault="00000000">
      <w:pPr>
        <w:pStyle w:val="Ttulo2"/>
        <w:rPr>
          <w:lang w:val="es-ES"/>
        </w:rPr>
      </w:pPr>
      <w:r>
        <w:rPr>
          <w:rFonts w:ascii="Times New Roman" w:hAnsi="Times New Roman"/>
          <w:color w:val="000000"/>
          <w:lang w:val="es-ES"/>
        </w:rPr>
        <w:t>8.1 Resultados Comparativos</w:t>
      </w:r>
    </w:p>
    <w:p w14:paraId="78FF767F" w14:textId="77777777" w:rsidR="00AB17A0" w:rsidRPr="009B27F6" w:rsidRDefault="00000000">
      <w:pPr>
        <w:jc w:val="center"/>
        <w:rPr>
          <w:lang w:val="es-ES"/>
        </w:rPr>
      </w:pPr>
      <w:r>
        <w:rPr>
          <w:rFonts w:ascii="Times New Roman" w:hAnsi="Times New Roman"/>
          <w:i/>
          <w:sz w:val="20"/>
          <w:lang w:val="es-ES"/>
        </w:rPr>
        <w:t>Tabla 4. Métricas comparativas de modelos – conjunto de test (vintage 2024)</w:t>
      </w:r>
    </w:p>
    <w:tbl>
      <w:tblPr>
        <w:tblStyle w:val="Tablaconcuadrcula"/>
        <w:tblW w:w="0" w:type="auto"/>
        <w:jc w:val="center"/>
        <w:tblLook w:val="04A0" w:firstRow="1" w:lastRow="0" w:firstColumn="1" w:lastColumn="0" w:noHBand="0" w:noVBand="1"/>
      </w:tblPr>
      <w:tblGrid>
        <w:gridCol w:w="1366"/>
        <w:gridCol w:w="1303"/>
        <w:gridCol w:w="1303"/>
        <w:gridCol w:w="1303"/>
        <w:gridCol w:w="1303"/>
        <w:gridCol w:w="1303"/>
        <w:gridCol w:w="1303"/>
      </w:tblGrid>
      <w:tr w:rsidR="00AB17A0" w14:paraId="1FB4441E" w14:textId="77777777">
        <w:trPr>
          <w:jc w:val="center"/>
        </w:trPr>
        <w:tc>
          <w:tcPr>
            <w:tcW w:w="1303" w:type="dxa"/>
            <w:shd w:val="clear" w:color="auto" w:fill="1F4E79"/>
          </w:tcPr>
          <w:p w14:paraId="7B71EA02" w14:textId="77777777" w:rsidR="00AB17A0" w:rsidRDefault="00000000">
            <w:r>
              <w:rPr>
                <w:rFonts w:ascii="Times New Roman" w:hAnsi="Times New Roman"/>
                <w:b/>
                <w:color w:val="FFFFFF"/>
                <w:sz w:val="18"/>
              </w:rPr>
              <w:t>Modelo</w:t>
            </w:r>
          </w:p>
        </w:tc>
        <w:tc>
          <w:tcPr>
            <w:tcW w:w="1303" w:type="dxa"/>
            <w:shd w:val="clear" w:color="auto" w:fill="1F4E79"/>
          </w:tcPr>
          <w:p w14:paraId="5C2B42F0" w14:textId="77777777" w:rsidR="00AB17A0" w:rsidRDefault="00000000">
            <w:r>
              <w:rPr>
                <w:rFonts w:ascii="Times New Roman" w:hAnsi="Times New Roman"/>
                <w:b/>
                <w:color w:val="FFFFFF"/>
                <w:sz w:val="18"/>
              </w:rPr>
              <w:t>AUC_val</w:t>
            </w:r>
          </w:p>
        </w:tc>
        <w:tc>
          <w:tcPr>
            <w:tcW w:w="1303" w:type="dxa"/>
            <w:shd w:val="clear" w:color="auto" w:fill="1F4E79"/>
          </w:tcPr>
          <w:p w14:paraId="02B3E6E7" w14:textId="77777777" w:rsidR="00AB17A0" w:rsidRDefault="00000000">
            <w:r>
              <w:rPr>
                <w:rFonts w:ascii="Times New Roman" w:hAnsi="Times New Roman"/>
                <w:b/>
                <w:color w:val="FFFFFF"/>
                <w:sz w:val="18"/>
              </w:rPr>
              <w:t>Gini_val</w:t>
            </w:r>
          </w:p>
        </w:tc>
        <w:tc>
          <w:tcPr>
            <w:tcW w:w="1303" w:type="dxa"/>
            <w:shd w:val="clear" w:color="auto" w:fill="1F4E79"/>
          </w:tcPr>
          <w:p w14:paraId="4AADED1B" w14:textId="77777777" w:rsidR="00AB17A0" w:rsidRDefault="00000000">
            <w:r>
              <w:rPr>
                <w:rFonts w:ascii="Times New Roman" w:hAnsi="Times New Roman"/>
                <w:b/>
                <w:color w:val="FFFFFF"/>
                <w:sz w:val="18"/>
              </w:rPr>
              <w:t>Brier_val</w:t>
            </w:r>
          </w:p>
        </w:tc>
        <w:tc>
          <w:tcPr>
            <w:tcW w:w="1303" w:type="dxa"/>
            <w:shd w:val="clear" w:color="auto" w:fill="1F4E79"/>
          </w:tcPr>
          <w:p w14:paraId="0D6DFFB4" w14:textId="77777777" w:rsidR="00AB17A0" w:rsidRDefault="00000000">
            <w:r>
              <w:rPr>
                <w:rFonts w:ascii="Times New Roman" w:hAnsi="Times New Roman"/>
                <w:b/>
                <w:color w:val="FFFFFF"/>
                <w:sz w:val="18"/>
              </w:rPr>
              <w:t>AUC_test</w:t>
            </w:r>
          </w:p>
        </w:tc>
        <w:tc>
          <w:tcPr>
            <w:tcW w:w="1303" w:type="dxa"/>
            <w:shd w:val="clear" w:color="auto" w:fill="1F4E79"/>
          </w:tcPr>
          <w:p w14:paraId="4FF74D2B" w14:textId="77777777" w:rsidR="00AB17A0" w:rsidRDefault="00000000">
            <w:r>
              <w:rPr>
                <w:rFonts w:ascii="Times New Roman" w:hAnsi="Times New Roman"/>
                <w:b/>
                <w:color w:val="FFFFFF"/>
                <w:sz w:val="18"/>
              </w:rPr>
              <w:t>Gini_test</w:t>
            </w:r>
          </w:p>
        </w:tc>
        <w:tc>
          <w:tcPr>
            <w:tcW w:w="1303" w:type="dxa"/>
            <w:shd w:val="clear" w:color="auto" w:fill="1F4E79"/>
          </w:tcPr>
          <w:p w14:paraId="5D584DF9" w14:textId="77777777" w:rsidR="00AB17A0" w:rsidRDefault="00000000">
            <w:r>
              <w:rPr>
                <w:rFonts w:ascii="Times New Roman" w:hAnsi="Times New Roman"/>
                <w:b/>
                <w:color w:val="FFFFFF"/>
                <w:sz w:val="18"/>
              </w:rPr>
              <w:t>Brier_test</w:t>
            </w:r>
          </w:p>
        </w:tc>
      </w:tr>
      <w:tr w:rsidR="00AB17A0" w14:paraId="0B390B2C" w14:textId="77777777">
        <w:trPr>
          <w:jc w:val="center"/>
        </w:trPr>
        <w:tc>
          <w:tcPr>
            <w:tcW w:w="1303" w:type="dxa"/>
            <w:shd w:val="clear" w:color="auto" w:fill="FFFFFF"/>
          </w:tcPr>
          <w:p w14:paraId="61A5F3A2" w14:textId="77777777" w:rsidR="00AB17A0" w:rsidRDefault="00000000">
            <w:r>
              <w:rPr>
                <w:rFonts w:ascii="Times New Roman" w:hAnsi="Times New Roman"/>
                <w:sz w:val="18"/>
              </w:rPr>
              <w:t>Logistica</w:t>
            </w:r>
          </w:p>
        </w:tc>
        <w:tc>
          <w:tcPr>
            <w:tcW w:w="1303" w:type="dxa"/>
            <w:shd w:val="clear" w:color="auto" w:fill="FFFFFF"/>
          </w:tcPr>
          <w:p w14:paraId="36808BA8" w14:textId="77777777" w:rsidR="00AB17A0" w:rsidRDefault="00000000">
            <w:r>
              <w:rPr>
                <w:rFonts w:ascii="Times New Roman" w:hAnsi="Times New Roman"/>
                <w:sz w:val="18"/>
              </w:rPr>
              <w:t>0.8169</w:t>
            </w:r>
          </w:p>
        </w:tc>
        <w:tc>
          <w:tcPr>
            <w:tcW w:w="1303" w:type="dxa"/>
            <w:shd w:val="clear" w:color="auto" w:fill="FFFFFF"/>
          </w:tcPr>
          <w:p w14:paraId="7C7A84E5" w14:textId="77777777" w:rsidR="00AB17A0" w:rsidRDefault="00000000">
            <w:r>
              <w:rPr>
                <w:rFonts w:ascii="Times New Roman" w:hAnsi="Times New Roman"/>
                <w:sz w:val="18"/>
              </w:rPr>
              <w:t>0.6338</w:t>
            </w:r>
          </w:p>
        </w:tc>
        <w:tc>
          <w:tcPr>
            <w:tcW w:w="1303" w:type="dxa"/>
            <w:shd w:val="clear" w:color="auto" w:fill="FFFFFF"/>
          </w:tcPr>
          <w:p w14:paraId="03492F5E" w14:textId="77777777" w:rsidR="00AB17A0" w:rsidRDefault="00000000">
            <w:r>
              <w:rPr>
                <w:rFonts w:ascii="Times New Roman" w:hAnsi="Times New Roman"/>
                <w:sz w:val="18"/>
              </w:rPr>
              <w:t>0.0077</w:t>
            </w:r>
          </w:p>
        </w:tc>
        <w:tc>
          <w:tcPr>
            <w:tcW w:w="1303" w:type="dxa"/>
            <w:shd w:val="clear" w:color="auto" w:fill="FFFFFF"/>
          </w:tcPr>
          <w:p w14:paraId="29AAEB76" w14:textId="77777777" w:rsidR="00AB17A0" w:rsidRDefault="00000000">
            <w:r>
              <w:rPr>
                <w:rFonts w:ascii="Times New Roman" w:hAnsi="Times New Roman"/>
                <w:sz w:val="18"/>
              </w:rPr>
              <w:t>0.8527</w:t>
            </w:r>
          </w:p>
        </w:tc>
        <w:tc>
          <w:tcPr>
            <w:tcW w:w="1303" w:type="dxa"/>
            <w:shd w:val="clear" w:color="auto" w:fill="FFFFFF"/>
          </w:tcPr>
          <w:p w14:paraId="1D17DE32" w14:textId="77777777" w:rsidR="00AB17A0" w:rsidRDefault="00000000">
            <w:r>
              <w:rPr>
                <w:rFonts w:ascii="Times New Roman" w:hAnsi="Times New Roman"/>
                <w:sz w:val="18"/>
              </w:rPr>
              <w:t>0.7053</w:t>
            </w:r>
          </w:p>
        </w:tc>
        <w:tc>
          <w:tcPr>
            <w:tcW w:w="1303" w:type="dxa"/>
            <w:shd w:val="clear" w:color="auto" w:fill="FFFFFF"/>
          </w:tcPr>
          <w:p w14:paraId="37B3E3DB" w14:textId="77777777" w:rsidR="00AB17A0" w:rsidRDefault="00000000">
            <w:r>
              <w:rPr>
                <w:rFonts w:ascii="Times New Roman" w:hAnsi="Times New Roman"/>
                <w:sz w:val="18"/>
              </w:rPr>
              <w:t>0.0030</w:t>
            </w:r>
          </w:p>
        </w:tc>
      </w:tr>
      <w:tr w:rsidR="00AB17A0" w14:paraId="0E38DFFD" w14:textId="77777777">
        <w:trPr>
          <w:jc w:val="center"/>
        </w:trPr>
        <w:tc>
          <w:tcPr>
            <w:tcW w:w="1303" w:type="dxa"/>
            <w:shd w:val="clear" w:color="auto" w:fill="E8F0FE"/>
          </w:tcPr>
          <w:p w14:paraId="266E5CD2" w14:textId="77777777" w:rsidR="00AB17A0" w:rsidRDefault="00000000">
            <w:r>
              <w:rPr>
                <w:rFonts w:ascii="Times New Roman" w:hAnsi="Times New Roman"/>
                <w:sz w:val="18"/>
              </w:rPr>
              <w:t>XGBoost</w:t>
            </w:r>
          </w:p>
        </w:tc>
        <w:tc>
          <w:tcPr>
            <w:tcW w:w="1303" w:type="dxa"/>
            <w:shd w:val="clear" w:color="auto" w:fill="E8F0FE"/>
          </w:tcPr>
          <w:p w14:paraId="72EBA2DA" w14:textId="77777777" w:rsidR="00AB17A0" w:rsidRDefault="00000000">
            <w:r>
              <w:rPr>
                <w:rFonts w:ascii="Times New Roman" w:hAnsi="Times New Roman"/>
                <w:sz w:val="18"/>
              </w:rPr>
              <w:t>0.8202</w:t>
            </w:r>
          </w:p>
        </w:tc>
        <w:tc>
          <w:tcPr>
            <w:tcW w:w="1303" w:type="dxa"/>
            <w:shd w:val="clear" w:color="auto" w:fill="E8F0FE"/>
          </w:tcPr>
          <w:p w14:paraId="54D378BC" w14:textId="77777777" w:rsidR="00AB17A0" w:rsidRDefault="00000000">
            <w:r>
              <w:rPr>
                <w:rFonts w:ascii="Times New Roman" w:hAnsi="Times New Roman"/>
                <w:sz w:val="18"/>
              </w:rPr>
              <w:t>0.6404</w:t>
            </w:r>
          </w:p>
        </w:tc>
        <w:tc>
          <w:tcPr>
            <w:tcW w:w="1303" w:type="dxa"/>
            <w:shd w:val="clear" w:color="auto" w:fill="E8F0FE"/>
          </w:tcPr>
          <w:p w14:paraId="4FCBA1BB" w14:textId="77777777" w:rsidR="00AB17A0" w:rsidRDefault="00000000">
            <w:r>
              <w:rPr>
                <w:rFonts w:ascii="Times New Roman" w:hAnsi="Times New Roman"/>
                <w:sz w:val="18"/>
              </w:rPr>
              <w:t>0.0077</w:t>
            </w:r>
          </w:p>
        </w:tc>
        <w:tc>
          <w:tcPr>
            <w:tcW w:w="1303" w:type="dxa"/>
            <w:shd w:val="clear" w:color="auto" w:fill="E8F0FE"/>
          </w:tcPr>
          <w:p w14:paraId="5208702E" w14:textId="77777777" w:rsidR="00AB17A0" w:rsidRDefault="00000000">
            <w:r>
              <w:rPr>
                <w:rFonts w:ascii="Times New Roman" w:hAnsi="Times New Roman"/>
                <w:sz w:val="18"/>
              </w:rPr>
              <w:t>0.7804</w:t>
            </w:r>
          </w:p>
        </w:tc>
        <w:tc>
          <w:tcPr>
            <w:tcW w:w="1303" w:type="dxa"/>
            <w:shd w:val="clear" w:color="auto" w:fill="E8F0FE"/>
          </w:tcPr>
          <w:p w14:paraId="28C4681C" w14:textId="77777777" w:rsidR="00AB17A0" w:rsidRDefault="00000000">
            <w:r>
              <w:rPr>
                <w:rFonts w:ascii="Times New Roman" w:hAnsi="Times New Roman"/>
                <w:sz w:val="18"/>
              </w:rPr>
              <w:t>0.5609</w:t>
            </w:r>
          </w:p>
        </w:tc>
        <w:tc>
          <w:tcPr>
            <w:tcW w:w="1303" w:type="dxa"/>
            <w:shd w:val="clear" w:color="auto" w:fill="E8F0FE"/>
          </w:tcPr>
          <w:p w14:paraId="11DAB405" w14:textId="77777777" w:rsidR="00AB17A0" w:rsidRDefault="00000000">
            <w:r>
              <w:rPr>
                <w:rFonts w:ascii="Times New Roman" w:hAnsi="Times New Roman"/>
                <w:sz w:val="18"/>
              </w:rPr>
              <w:t>0.0028</w:t>
            </w:r>
          </w:p>
        </w:tc>
      </w:tr>
      <w:tr w:rsidR="00AB17A0" w14:paraId="50EEA315" w14:textId="77777777">
        <w:trPr>
          <w:jc w:val="center"/>
        </w:trPr>
        <w:tc>
          <w:tcPr>
            <w:tcW w:w="1303" w:type="dxa"/>
            <w:shd w:val="clear" w:color="auto" w:fill="FFFFFF"/>
          </w:tcPr>
          <w:p w14:paraId="36F59AEB" w14:textId="77777777" w:rsidR="00AB17A0" w:rsidRDefault="00000000">
            <w:r>
              <w:rPr>
                <w:rFonts w:ascii="Times New Roman" w:hAnsi="Times New Roman"/>
                <w:sz w:val="18"/>
              </w:rPr>
              <w:t>Random_Forest</w:t>
            </w:r>
          </w:p>
        </w:tc>
        <w:tc>
          <w:tcPr>
            <w:tcW w:w="1303" w:type="dxa"/>
            <w:shd w:val="clear" w:color="auto" w:fill="FFFFFF"/>
          </w:tcPr>
          <w:p w14:paraId="0744F115" w14:textId="77777777" w:rsidR="00AB17A0" w:rsidRDefault="00000000">
            <w:r>
              <w:rPr>
                <w:rFonts w:ascii="Times New Roman" w:hAnsi="Times New Roman"/>
                <w:sz w:val="18"/>
              </w:rPr>
              <w:t>0.8313</w:t>
            </w:r>
          </w:p>
        </w:tc>
        <w:tc>
          <w:tcPr>
            <w:tcW w:w="1303" w:type="dxa"/>
            <w:shd w:val="clear" w:color="auto" w:fill="FFFFFF"/>
          </w:tcPr>
          <w:p w14:paraId="7AE15F95" w14:textId="77777777" w:rsidR="00AB17A0" w:rsidRDefault="00000000">
            <w:r>
              <w:rPr>
                <w:rFonts w:ascii="Times New Roman" w:hAnsi="Times New Roman"/>
                <w:sz w:val="18"/>
              </w:rPr>
              <w:t>0.6627</w:t>
            </w:r>
          </w:p>
        </w:tc>
        <w:tc>
          <w:tcPr>
            <w:tcW w:w="1303" w:type="dxa"/>
            <w:shd w:val="clear" w:color="auto" w:fill="FFFFFF"/>
          </w:tcPr>
          <w:p w14:paraId="331CD6BC" w14:textId="77777777" w:rsidR="00AB17A0" w:rsidRDefault="00000000">
            <w:r>
              <w:rPr>
                <w:rFonts w:ascii="Times New Roman" w:hAnsi="Times New Roman"/>
                <w:sz w:val="18"/>
              </w:rPr>
              <w:t>0.0076</w:t>
            </w:r>
          </w:p>
        </w:tc>
        <w:tc>
          <w:tcPr>
            <w:tcW w:w="1303" w:type="dxa"/>
            <w:shd w:val="clear" w:color="auto" w:fill="FFFFFF"/>
          </w:tcPr>
          <w:p w14:paraId="7466AAA8" w14:textId="77777777" w:rsidR="00AB17A0" w:rsidRDefault="00000000">
            <w:r>
              <w:rPr>
                <w:rFonts w:ascii="Times New Roman" w:hAnsi="Times New Roman"/>
                <w:sz w:val="18"/>
              </w:rPr>
              <w:t>0.8251</w:t>
            </w:r>
          </w:p>
        </w:tc>
        <w:tc>
          <w:tcPr>
            <w:tcW w:w="1303" w:type="dxa"/>
            <w:shd w:val="clear" w:color="auto" w:fill="FFFFFF"/>
          </w:tcPr>
          <w:p w14:paraId="21ADF05C" w14:textId="77777777" w:rsidR="00AB17A0" w:rsidRDefault="00000000">
            <w:r>
              <w:rPr>
                <w:rFonts w:ascii="Times New Roman" w:hAnsi="Times New Roman"/>
                <w:sz w:val="18"/>
              </w:rPr>
              <w:t>0.6501</w:t>
            </w:r>
          </w:p>
        </w:tc>
        <w:tc>
          <w:tcPr>
            <w:tcW w:w="1303" w:type="dxa"/>
            <w:shd w:val="clear" w:color="auto" w:fill="FFFFFF"/>
          </w:tcPr>
          <w:p w14:paraId="28EAC0AE" w14:textId="77777777" w:rsidR="00AB17A0" w:rsidRDefault="00000000">
            <w:r>
              <w:rPr>
                <w:rFonts w:ascii="Times New Roman" w:hAnsi="Times New Roman"/>
                <w:sz w:val="18"/>
              </w:rPr>
              <w:t>0.0028</w:t>
            </w:r>
          </w:p>
        </w:tc>
      </w:tr>
    </w:tbl>
    <w:p w14:paraId="6DF34E98" w14:textId="77777777" w:rsidR="00AB17A0" w:rsidRDefault="00AB17A0"/>
    <w:p w14:paraId="2A1B01A0" w14:textId="77777777" w:rsidR="00AB17A0" w:rsidRPr="009B27F6" w:rsidRDefault="00000000">
      <w:pPr>
        <w:spacing w:after="120" w:line="360" w:lineRule="exact"/>
        <w:jc w:val="both"/>
        <w:rPr>
          <w:lang w:val="es-ES"/>
        </w:rPr>
      </w:pPr>
      <w:r>
        <w:rPr>
          <w:rFonts w:ascii="Times New Roman" w:hAnsi="Times New Roman"/>
          <w:sz w:val="24"/>
          <w:lang w:val="es-ES"/>
        </w:rPr>
        <w:t>El modelo Logistica obtiene el mejor desempeño en el conjunto de test, con AUC = 0.8527 y Gini = 0.7053. Todos los modelos superan el umbral mínimo regulatorio de Gini &gt; 0.25.</w:t>
      </w:r>
    </w:p>
    <w:p w14:paraId="691A19E2" w14:textId="77777777" w:rsidR="00AB17A0" w:rsidRPr="009B27F6" w:rsidRDefault="00000000">
      <w:pPr>
        <w:rPr>
          <w:lang w:val="es-ES"/>
        </w:rPr>
      </w:pPr>
      <w:r>
        <w:rPr>
          <w:lang w:val="es-ES"/>
        </w:rPr>
        <w:br w:type="page"/>
      </w:r>
    </w:p>
    <w:p w14:paraId="295FED3D" w14:textId="77777777" w:rsidR="00AB17A0" w:rsidRPr="009B27F6" w:rsidRDefault="00000000">
      <w:pPr>
        <w:pStyle w:val="Ttulo1"/>
        <w:rPr>
          <w:lang w:val="es-ES"/>
        </w:rPr>
      </w:pPr>
      <w:r>
        <w:rPr>
          <w:rFonts w:ascii="Times New Roman" w:hAnsi="Times New Roman"/>
          <w:color w:val="000000"/>
          <w:lang w:val="es-ES"/>
        </w:rPr>
        <w:lastRenderedPageBreak/>
        <w:t>9. Calibración PIT y Curva Lifetime PD</w:t>
      </w:r>
    </w:p>
    <w:p w14:paraId="601CF37B" w14:textId="77777777" w:rsidR="00AB17A0" w:rsidRPr="009B27F6" w:rsidRDefault="00000000">
      <w:pPr>
        <w:spacing w:after="120" w:line="360" w:lineRule="exact"/>
        <w:jc w:val="both"/>
        <w:rPr>
          <w:lang w:val="es-ES"/>
        </w:rPr>
      </w:pPr>
      <w:r>
        <w:rPr>
          <w:rFonts w:ascii="Times New Roman" w:hAnsi="Times New Roman"/>
          <w:sz w:val="24"/>
          <w:lang w:val="es-ES"/>
        </w:rPr>
        <w:t>El modelo XGBoost es calibrado mediante Regresión Isotónica para asegurar que las probabilidades predichas estén correctamente calibradas (PD observada ≈ PD predicha). La Lifetime PD se calcula aplicando el enfoque de supervivencia:</w:t>
      </w:r>
    </w:p>
    <w:p w14:paraId="51B5A9F9" w14:textId="77777777" w:rsidR="00AB17A0" w:rsidRPr="009B27F6" w:rsidRDefault="00000000">
      <w:pPr>
        <w:shd w:val="clear" w:color="auto" w:fill="F2F2F2"/>
        <w:spacing w:before="80" w:after="80"/>
        <w:ind w:left="567"/>
        <w:rPr>
          <w:lang w:val="es-ES"/>
        </w:rPr>
      </w:pPr>
      <w:r>
        <w:rPr>
          <w:rFonts w:ascii="Courier New" w:hAnsi="Courier New"/>
          <w:sz w:val="18"/>
          <w:lang w:val="es-ES"/>
        </w:rPr>
        <w:t># Lifetime PD usando enfoque de supervivencia</w:t>
      </w:r>
      <w:r>
        <w:rPr>
          <w:rFonts w:ascii="Courier New" w:hAnsi="Courier New"/>
          <w:sz w:val="18"/>
          <w:lang w:val="es-ES"/>
        </w:rPr>
        <w:br/>
        <w:t># pd_marginal_t: PD a 12m promedio para préstamos de edad t</w:t>
      </w:r>
      <w:r>
        <w:rPr>
          <w:rFonts w:ascii="Courier New" w:hAnsi="Courier New"/>
          <w:sz w:val="18"/>
          <w:lang w:val="es-ES"/>
        </w:rPr>
        <w:br/>
        <w:t>supervivencia_t = ∏(1 - pd_marginal_s)  para s=1 hasta t</w:t>
      </w:r>
      <w:r>
        <w:rPr>
          <w:rFonts w:ascii="Courier New" w:hAnsi="Courier New"/>
          <w:sz w:val="18"/>
          <w:lang w:val="es-ES"/>
        </w:rPr>
        <w:br/>
        <w:t>Lifetime_PD_t   = 1 - supervivencia_t</w:t>
      </w:r>
      <w:r>
        <w:rPr>
          <w:rFonts w:ascii="Courier New" w:hAnsi="Courier New"/>
          <w:sz w:val="18"/>
          <w:lang w:val="es-ES"/>
        </w:rPr>
        <w:br/>
      </w:r>
      <w:r>
        <w:rPr>
          <w:rFonts w:ascii="Courier New" w:hAnsi="Courier New"/>
          <w:sz w:val="18"/>
          <w:lang w:val="es-ES"/>
        </w:rPr>
        <w:br/>
        <w:t># IFRS 9 ECL por stage:</w:t>
      </w:r>
      <w:r>
        <w:rPr>
          <w:rFonts w:ascii="Courier New" w:hAnsi="Courier New"/>
          <w:sz w:val="18"/>
          <w:lang w:val="es-ES"/>
        </w:rPr>
        <w:br/>
        <w:t># Stage 1: ECL_12m  = PD_12m × LGD × EAD</w:t>
      </w:r>
      <w:r>
        <w:rPr>
          <w:rFonts w:ascii="Courier New" w:hAnsi="Courier New"/>
          <w:sz w:val="18"/>
          <w:lang w:val="es-ES"/>
        </w:rPr>
        <w:br/>
        <w:t># Stage 2: ECL_life = PD_lifetime × LGD × EAD</w:t>
      </w:r>
    </w:p>
    <w:p w14:paraId="41468BB3" w14:textId="77777777" w:rsidR="00AB17A0" w:rsidRDefault="00000000">
      <w:pPr>
        <w:jc w:val="center"/>
      </w:pPr>
      <w:r>
        <w:rPr>
          <w:noProof/>
        </w:rPr>
        <w:drawing>
          <wp:inline distT="0" distB="0" distL="0" distR="0" wp14:anchorId="1C5168B9" wp14:editId="7A2B343B">
            <wp:extent cx="5040000" cy="20969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va_pd_lifetime.png"/>
                    <pic:cNvPicPr/>
                  </pic:nvPicPr>
                  <pic:blipFill>
                    <a:blip r:embed="rId14"/>
                    <a:stretch>
                      <a:fillRect/>
                    </a:stretch>
                  </pic:blipFill>
                  <pic:spPr>
                    <a:xfrm>
                      <a:off x="0" y="0"/>
                      <a:ext cx="5040000" cy="2096934"/>
                    </a:xfrm>
                    <a:prstGeom prst="rect">
                      <a:avLst/>
                    </a:prstGeom>
                  </pic:spPr>
                </pic:pic>
              </a:graphicData>
            </a:graphic>
          </wp:inline>
        </w:drawing>
      </w:r>
    </w:p>
    <w:p w14:paraId="4A6A2E7D" w14:textId="77777777" w:rsidR="00AB17A0" w:rsidRPr="009B27F6" w:rsidRDefault="00000000">
      <w:pPr>
        <w:jc w:val="center"/>
        <w:rPr>
          <w:lang w:val="es-ES"/>
        </w:rPr>
      </w:pPr>
      <w:r>
        <w:rPr>
          <w:rFonts w:ascii="Times New Roman" w:hAnsi="Times New Roman"/>
          <w:i/>
          <w:sz w:val="20"/>
          <w:lang w:val="es-ES"/>
        </w:rPr>
        <w:t>Figura 7. Curva de PD marginal y Lifetime PD acumulada por antigüedad del préstamo.</w:t>
      </w:r>
    </w:p>
    <w:p w14:paraId="668650CB" w14:textId="77777777" w:rsidR="00AB17A0" w:rsidRPr="009B27F6" w:rsidRDefault="00AB17A0">
      <w:pPr>
        <w:rPr>
          <w:lang w:val="es-ES"/>
        </w:rPr>
      </w:pPr>
    </w:p>
    <w:p w14:paraId="49D65E5A" w14:textId="77777777" w:rsidR="00AB17A0" w:rsidRPr="009B27F6" w:rsidRDefault="00000000">
      <w:pPr>
        <w:jc w:val="center"/>
        <w:rPr>
          <w:lang w:val="es-ES"/>
        </w:rPr>
      </w:pPr>
      <w:r>
        <w:rPr>
          <w:rFonts w:ascii="Times New Roman" w:hAnsi="Times New Roman"/>
          <w:i/>
          <w:sz w:val="20"/>
          <w:lang w:val="es-ES"/>
        </w:rPr>
        <w:t>Tabla 5. Puntos de referencia de la curva Lifetime PD</w:t>
      </w:r>
    </w:p>
    <w:p>
      <w:pPr>
        <w:pStyle w:val="Ttulo2"/>
      </w:pPr>
      <w:r>
        <w:t xml:space="preserve">9.2 Ponderación de Escenarios Macroeconómicos (IFRS 9 5.5.17c / BIS d350 P6)</w:t>
      </w:r>
    </w:p>
    <w:p>
      <w:pPr/>
      <w:r>
        <w:t xml:space="preserve">El módulo 05b_scenario_weighting.py implementa la ponderación de escenarios macroeconómicos múltiples requerida por IFRS 9 5.5.17(c) y BIS d350 Principio 6 (paras 62-68). Se definen tres escenarios basados en shocks sobre el House Price Index (HPI), la tasa de desempleo y el Federal Funds Rate, con pesos derivados de la práctica regulatoria del Federal Reserve (CCAR):</w:t>
      </w:r>
    </w:p>
    <w:p>
      <w:pPr/>
      <w:r>
        <w:t xml:space="preserve">Escenario Base (peso 50%): condiciones macro observadas en el período de test. Escenario Pesimista (peso 30%): inspirado en CCAR Severely Adverse — HPI −25%, desempleo +4pp, fed funds rate −2.5pp. Escenario Optimista (peso 20%): recuperación leve — HPI +2%, desempleo −1pp. El ECL ponderado se calcula como: ECL_final = 0.50 × ECL_base + 0.30 × ECL_pesimista + 0.20 × ECL_optimista. Los pesos son configurables en config.py (SCENARIO_WEIGHTS) y los resultados se exportan a outputs/tablas/ecl_by_scenario.csv y outputs/figuras/lifetime_pd_scenarios.png.</w:t>
      </w:r>
    </w:p>
    <w:tbl>
      <w:tblPr>
        <w:tblStyle w:val="Tablaconcuadrcula"/>
        <w:tblW w:w="0" w:type="auto"/>
        <w:jc w:val="center"/>
        <w:tblLook w:val="04A0" w:firstRow="1" w:lastRow="0" w:firstColumn="1" w:lastColumn="0" w:noHBand="0" w:noVBand="1"/>
      </w:tblPr>
      <w:tblGrid>
        <w:gridCol w:w="3041"/>
        <w:gridCol w:w="3041"/>
        <w:gridCol w:w="3041"/>
      </w:tblGrid>
      <w:tr w:rsidR="00AB17A0" w14:paraId="3A01F655" w14:textId="77777777">
        <w:trPr>
          <w:jc w:val="center"/>
        </w:trPr>
        <w:tc>
          <w:tcPr>
            <w:tcW w:w="3041" w:type="dxa"/>
            <w:shd w:val="clear" w:color="auto" w:fill="1F4E79"/>
          </w:tcPr>
          <w:p w14:paraId="3FEE7E09" w14:textId="77777777" w:rsidR="00AB17A0" w:rsidRDefault="00000000">
            <w:r>
              <w:rPr>
                <w:rFonts w:ascii="Times New Roman" w:hAnsi="Times New Roman"/>
                <w:b/>
                <w:color w:val="FFFFFF"/>
                <w:sz w:val="18"/>
              </w:rPr>
              <w:t>loan_age</w:t>
            </w:r>
          </w:p>
        </w:tc>
        <w:tc>
          <w:tcPr>
            <w:tcW w:w="3041" w:type="dxa"/>
            <w:shd w:val="clear" w:color="auto" w:fill="1F4E79"/>
          </w:tcPr>
          <w:p w14:paraId="3B65E2DB" w14:textId="77777777" w:rsidR="00AB17A0" w:rsidRDefault="00000000">
            <w:r>
              <w:rPr>
                <w:rFonts w:ascii="Times New Roman" w:hAnsi="Times New Roman"/>
                <w:b/>
                <w:color w:val="FFFFFF"/>
                <w:sz w:val="18"/>
              </w:rPr>
              <w:t>pd_marginal</w:t>
            </w:r>
          </w:p>
        </w:tc>
        <w:tc>
          <w:tcPr>
            <w:tcW w:w="3041" w:type="dxa"/>
            <w:shd w:val="clear" w:color="auto" w:fill="1F4E79"/>
          </w:tcPr>
          <w:p w14:paraId="4EBCBF41" w14:textId="77777777" w:rsidR="00AB17A0" w:rsidRDefault="00000000">
            <w:r>
              <w:rPr>
                <w:rFonts w:ascii="Times New Roman" w:hAnsi="Times New Roman"/>
                <w:b/>
                <w:color w:val="FFFFFF"/>
                <w:sz w:val="18"/>
              </w:rPr>
              <w:t>pd_lifetime_acum</w:t>
            </w:r>
          </w:p>
        </w:tc>
      </w:tr>
      <w:tr w:rsidR="00AB17A0" w14:paraId="43ADEDD9" w14:textId="77777777">
        <w:trPr>
          <w:jc w:val="center"/>
        </w:trPr>
        <w:tc>
          <w:tcPr>
            <w:tcW w:w="3041" w:type="dxa"/>
            <w:shd w:val="clear" w:color="auto" w:fill="FFFFFF"/>
          </w:tcPr>
          <w:p w14:paraId="7853ECEC" w14:textId="77777777" w:rsidR="00AB17A0" w:rsidRDefault="00000000">
            <w:r>
              <w:rPr>
                <w:rFonts w:ascii="Times New Roman" w:hAnsi="Times New Roman"/>
                <w:sz w:val="18"/>
              </w:rPr>
              <w:t>12</w:t>
            </w:r>
          </w:p>
        </w:tc>
        <w:tc>
          <w:tcPr>
            <w:tcW w:w="3041" w:type="dxa"/>
            <w:shd w:val="clear" w:color="auto" w:fill="FFFFFF"/>
          </w:tcPr>
          <w:p w14:paraId="46B515F7" w14:textId="77777777" w:rsidR="00AB17A0" w:rsidRDefault="00000000">
            <w:r>
              <w:rPr>
                <w:rFonts w:ascii="Times New Roman" w:hAnsi="Times New Roman"/>
                <w:sz w:val="18"/>
              </w:rPr>
              <w:t>0.7462%</w:t>
            </w:r>
          </w:p>
        </w:tc>
        <w:tc>
          <w:tcPr>
            <w:tcW w:w="3041" w:type="dxa"/>
            <w:shd w:val="clear" w:color="auto" w:fill="FFFFFF"/>
          </w:tcPr>
          <w:p w14:paraId="2C1884DD" w14:textId="77777777" w:rsidR="00AB17A0" w:rsidRDefault="00000000">
            <w:r>
              <w:rPr>
                <w:rFonts w:ascii="Times New Roman" w:hAnsi="Times New Roman"/>
                <w:sz w:val="18"/>
              </w:rPr>
              <w:t>7.3665%</w:t>
            </w:r>
          </w:p>
        </w:tc>
      </w:tr>
      <w:tr w:rsidR="00AB17A0" w14:paraId="07C66551" w14:textId="77777777">
        <w:trPr>
          <w:jc w:val="center"/>
        </w:trPr>
        <w:tc>
          <w:tcPr>
            <w:tcW w:w="3041" w:type="dxa"/>
            <w:shd w:val="clear" w:color="auto" w:fill="E8F0FE"/>
          </w:tcPr>
          <w:p w14:paraId="028A7654" w14:textId="77777777" w:rsidR="00AB17A0" w:rsidRDefault="00000000">
            <w:r>
              <w:rPr>
                <w:rFonts w:ascii="Times New Roman" w:hAnsi="Times New Roman"/>
                <w:sz w:val="18"/>
              </w:rPr>
              <w:t>24</w:t>
            </w:r>
          </w:p>
        </w:tc>
        <w:tc>
          <w:tcPr>
            <w:tcW w:w="3041" w:type="dxa"/>
            <w:shd w:val="clear" w:color="auto" w:fill="E8F0FE"/>
          </w:tcPr>
          <w:p w14:paraId="14EA157D" w14:textId="77777777" w:rsidR="00AB17A0" w:rsidRDefault="00000000">
            <w:r>
              <w:rPr>
                <w:rFonts w:ascii="Times New Roman" w:hAnsi="Times New Roman"/>
                <w:sz w:val="18"/>
              </w:rPr>
              <w:t>0.7394%</w:t>
            </w:r>
          </w:p>
        </w:tc>
        <w:tc>
          <w:tcPr>
            <w:tcW w:w="3041" w:type="dxa"/>
            <w:shd w:val="clear" w:color="auto" w:fill="E8F0FE"/>
          </w:tcPr>
          <w:p w14:paraId="73470CE3" w14:textId="77777777" w:rsidR="00AB17A0" w:rsidRDefault="00000000">
            <w:r>
              <w:rPr>
                <w:rFonts w:ascii="Times New Roman" w:hAnsi="Times New Roman"/>
                <w:sz w:val="18"/>
              </w:rPr>
              <w:t>15.4082%</w:t>
            </w:r>
          </w:p>
        </w:tc>
      </w:tr>
      <w:tr w:rsidR="00AB17A0" w14:paraId="5B4E8062" w14:textId="77777777">
        <w:trPr>
          <w:jc w:val="center"/>
        </w:trPr>
        <w:tc>
          <w:tcPr>
            <w:tcW w:w="3041" w:type="dxa"/>
            <w:shd w:val="clear" w:color="auto" w:fill="FFFFFF"/>
          </w:tcPr>
          <w:p w14:paraId="612989D9" w14:textId="77777777" w:rsidR="00AB17A0" w:rsidRDefault="00000000">
            <w:r>
              <w:rPr>
                <w:rFonts w:ascii="Times New Roman" w:hAnsi="Times New Roman"/>
                <w:sz w:val="18"/>
              </w:rPr>
              <w:t>36</w:t>
            </w:r>
          </w:p>
        </w:tc>
        <w:tc>
          <w:tcPr>
            <w:tcW w:w="3041" w:type="dxa"/>
            <w:shd w:val="clear" w:color="auto" w:fill="FFFFFF"/>
          </w:tcPr>
          <w:p w14:paraId="119A373B" w14:textId="77777777" w:rsidR="00AB17A0" w:rsidRDefault="00000000">
            <w:r>
              <w:rPr>
                <w:rFonts w:ascii="Times New Roman" w:hAnsi="Times New Roman"/>
                <w:sz w:val="18"/>
              </w:rPr>
              <w:t>0.6808%</w:t>
            </w:r>
          </w:p>
        </w:tc>
        <w:tc>
          <w:tcPr>
            <w:tcW w:w="3041" w:type="dxa"/>
            <w:shd w:val="clear" w:color="auto" w:fill="FFFFFF"/>
          </w:tcPr>
          <w:p w14:paraId="64458D66" w14:textId="77777777" w:rsidR="00AB17A0" w:rsidRDefault="00000000">
            <w:r>
              <w:rPr>
                <w:rFonts w:ascii="Times New Roman" w:hAnsi="Times New Roman"/>
                <w:sz w:val="18"/>
              </w:rPr>
              <w:t>22.5580%</w:t>
            </w:r>
          </w:p>
        </w:tc>
      </w:tr>
      <w:tr w:rsidR="00AB17A0" w14:paraId="35602C5B" w14:textId="77777777">
        <w:trPr>
          <w:jc w:val="center"/>
        </w:trPr>
        <w:tc>
          <w:tcPr>
            <w:tcW w:w="3041" w:type="dxa"/>
            <w:shd w:val="clear" w:color="auto" w:fill="E8F0FE"/>
          </w:tcPr>
          <w:p w14:paraId="6DA012E1" w14:textId="77777777" w:rsidR="00AB17A0" w:rsidRDefault="00000000">
            <w:r>
              <w:rPr>
                <w:rFonts w:ascii="Times New Roman" w:hAnsi="Times New Roman"/>
                <w:sz w:val="18"/>
              </w:rPr>
              <w:t>60</w:t>
            </w:r>
          </w:p>
        </w:tc>
        <w:tc>
          <w:tcPr>
            <w:tcW w:w="3041" w:type="dxa"/>
            <w:shd w:val="clear" w:color="auto" w:fill="E8F0FE"/>
          </w:tcPr>
          <w:p w14:paraId="3101356E" w14:textId="77777777" w:rsidR="00AB17A0" w:rsidRDefault="00000000">
            <w:r>
              <w:rPr>
                <w:rFonts w:ascii="Times New Roman" w:hAnsi="Times New Roman"/>
                <w:sz w:val="18"/>
              </w:rPr>
              <w:t>0.3449%</w:t>
            </w:r>
          </w:p>
        </w:tc>
        <w:tc>
          <w:tcPr>
            <w:tcW w:w="3041" w:type="dxa"/>
            <w:shd w:val="clear" w:color="auto" w:fill="E8F0FE"/>
          </w:tcPr>
          <w:p w14:paraId="166B81D3" w14:textId="77777777" w:rsidR="00AB17A0" w:rsidRDefault="00000000">
            <w:r>
              <w:rPr>
                <w:rFonts w:ascii="Times New Roman" w:hAnsi="Times New Roman"/>
                <w:sz w:val="18"/>
              </w:rPr>
              <w:t>31.6620%</w:t>
            </w:r>
          </w:p>
        </w:tc>
      </w:tr>
    </w:tbl>
    <w:p w14:paraId="45927B72" w14:textId="77777777" w:rsidR="00AB17A0" w:rsidRDefault="00AB17A0"/>
    <w:p w14:paraId="1F969CD5" w14:textId="77777777" w:rsidR="00AB17A0" w:rsidRDefault="00000000">
      <w:r>
        <w:br w:type="page"/>
      </w:r>
    </w:p>
    <w:p w14:paraId="700B57BD" w14:textId="77777777" w:rsidR="00AB17A0" w:rsidRDefault="00000000">
      <w:pPr>
        <w:pStyle w:val="Ttulo1"/>
      </w:pPr>
      <w:r>
        <w:rPr>
          <w:rFonts w:ascii="Times New Roman" w:hAnsi="Times New Roman"/>
          <w:color w:val="000000"/>
        </w:rPr>
        <w:lastRenderedPageBreak/>
        <w:t>10. Validación Regulatoria del Modelo PD</w:t>
      </w:r>
    </w:p>
    <w:p w14:paraId="7E31EEFC" w14:textId="77777777" w:rsidR="00AB17A0" w:rsidRPr="009B27F6" w:rsidRDefault="00000000">
      <w:pPr>
        <w:spacing w:after="120" w:line="360" w:lineRule="exact"/>
        <w:jc w:val="both"/>
        <w:rPr>
          <w:lang w:val="es-ES"/>
        </w:rPr>
      </w:pPr>
      <w:r>
        <w:rPr>
          <w:rFonts w:ascii="Times New Roman" w:hAnsi="Times New Roman"/>
          <w:sz w:val="24"/>
          <w:lang w:val="es-ES"/>
        </w:rPr>
        <w:t>La validación sigue las guías de la EBA sobre estimación de parámetros IFRS 9 e incluye métricas de discriminación, calibración y estabilidad:</w:t>
      </w:r>
    </w:p>
    <w:p w14:paraId="5CAA272A" w14:textId="77777777" w:rsidR="00AB17A0" w:rsidRDefault="00000000">
      <w:pPr>
        <w:pStyle w:val="Listaconvietas"/>
      </w:pPr>
      <w:r>
        <w:rPr>
          <w:rFonts w:ascii="Times New Roman" w:hAnsi="Times New Roman"/>
          <w:b/>
          <w:lang w:val="es-ES"/>
        </w:rPr>
        <w:t xml:space="preserve">AUC / Gini: </w:t>
      </w:r>
      <w:r>
        <w:rPr>
          <w:rFonts w:ascii="Times New Roman" w:hAnsi="Times New Roman"/>
          <w:lang w:val="es-ES"/>
        </w:rPr>
        <w:t xml:space="preserve">Discriminación: capacidad de separar defaulters de no-defaulters. </w:t>
      </w:r>
      <w:r>
        <w:rPr>
          <w:rFonts w:ascii="Times New Roman" w:hAnsi="Times New Roman"/>
        </w:rPr>
        <w:t>Gini &gt; 0.25 = aceptable; &gt; 0.50 = bueno; &gt; 0.70 = muy bueno.</w:t>
      </w:r>
    </w:p>
    <w:p w14:paraId="06AD6C93" w14:textId="77777777" w:rsidR="00AB17A0" w:rsidRDefault="00000000">
      <w:pPr>
        <w:pStyle w:val="Listaconvietas"/>
      </w:pPr>
      <w:r>
        <w:rPr>
          <w:rFonts w:ascii="Times New Roman" w:hAnsi="Times New Roman"/>
          <w:b/>
          <w:lang w:val="es-ES"/>
        </w:rPr>
        <w:t xml:space="preserve">KS: </w:t>
      </w:r>
      <w:r>
        <w:rPr>
          <w:rFonts w:ascii="Times New Roman" w:hAnsi="Times New Roman"/>
          <w:lang w:val="es-ES"/>
        </w:rPr>
        <w:t xml:space="preserve">Estadístico Kolmogorov-Smirnov: máxima separación entre distribuciones. </w:t>
      </w:r>
      <w:r>
        <w:rPr>
          <w:rFonts w:ascii="Times New Roman" w:hAnsi="Times New Roman"/>
        </w:rPr>
        <w:t>KS &gt; 0.30 = aceptable.</w:t>
      </w:r>
    </w:p>
    <w:p w14:paraId="462AEF9C" w14:textId="77777777" w:rsidR="00AB17A0" w:rsidRDefault="00000000">
      <w:pPr>
        <w:pStyle w:val="Listaconvietas"/>
      </w:pPr>
      <w:r>
        <w:rPr>
          <w:rFonts w:ascii="Times New Roman" w:hAnsi="Times New Roman"/>
          <w:b/>
          <w:lang w:val="es-ES"/>
        </w:rPr>
        <w:t xml:space="preserve">Brier Score: </w:t>
      </w:r>
      <w:r>
        <w:rPr>
          <w:rFonts w:ascii="Times New Roman" w:hAnsi="Times New Roman"/>
          <w:lang w:val="es-ES"/>
        </w:rPr>
        <w:t xml:space="preserve">Calibración: error cuadrático de probabilidades. </w:t>
      </w:r>
      <w:r>
        <w:rPr>
          <w:rFonts w:ascii="Times New Roman" w:hAnsi="Times New Roman"/>
        </w:rPr>
        <w:t>Menor = mejor.</w:t>
      </w:r>
    </w:p>
    <w:p w14:paraId="783713F4" w14:textId="77777777" w:rsidR="00AB17A0" w:rsidRPr="009B27F6" w:rsidRDefault="00000000">
      <w:pPr>
        <w:pStyle w:val="Listaconvietas"/>
        <w:rPr>
          <w:lang w:val="es-ES"/>
        </w:rPr>
      </w:pPr>
      <w:r>
        <w:rPr>
          <w:rFonts w:ascii="Times New Roman" w:hAnsi="Times New Roman"/>
          <w:b/>
          <w:lang w:val="es-ES"/>
        </w:rPr>
        <w:t xml:space="preserve">PSI: </w:t>
      </w:r>
      <w:r>
        <w:rPr>
          <w:rFonts w:ascii="Times New Roman" w:hAnsi="Times New Roman"/>
          <w:lang w:val="es-ES"/>
        </w:rPr>
        <w:t>Estabilidad: &lt; 0.10 estable; 0.10–0.25 monitorear; &gt; 0.25 inestable.</w:t>
      </w:r>
    </w:p>
    <w:p w14:paraId="74056123" w14:textId="77777777" w:rsidR="00AB17A0" w:rsidRPr="009B27F6" w:rsidRDefault="00000000">
      <w:pPr>
        <w:pStyle w:val="Listaconvietas"/>
        <w:rPr>
          <w:lang w:val="es-ES"/>
        </w:rPr>
      </w:pPr>
      <w:r>
        <w:rPr>
          <w:rFonts w:ascii="Times New Roman" w:hAnsi="Times New Roman"/>
          <w:b/>
          <w:lang w:val="es-ES"/>
        </w:rPr>
        <w:t xml:space="preserve">Hosmer-Lemeshow: </w:t>
      </w:r>
      <w:r>
        <w:rPr>
          <w:rFonts w:ascii="Times New Roman" w:hAnsi="Times New Roman"/>
          <w:lang w:val="es-ES"/>
        </w:rPr>
        <w:t>Bondad de ajuste por deciles de riesgo. p-valor &gt; 0.05 = calibración OK.</w:t>
      </w:r>
    </w:p>
    <w:p w14:paraId="0D6C7254" w14:textId="77777777" w:rsidR="00AB17A0" w:rsidRPr="009B27F6" w:rsidRDefault="00000000">
      <w:pPr>
        <w:pStyle w:val="Ttulo2"/>
        <w:rPr>
          <w:lang w:val="es-ES"/>
        </w:rPr>
      </w:pPr>
      <w:r>
        <w:rPr>
          <w:rFonts w:ascii="Times New Roman" w:hAnsi="Times New Roman"/>
          <w:color w:val="000000"/>
          <w:lang w:val="es-ES"/>
        </w:rPr>
        <w:t>10.1 Resultados de Validación</w:t>
      </w:r>
    </w:p>
    <w:p w14:paraId="146AC8AD" w14:textId="77777777" w:rsidR="00AB17A0" w:rsidRPr="009B27F6" w:rsidRDefault="00000000">
      <w:pPr>
        <w:jc w:val="center"/>
        <w:rPr>
          <w:lang w:val="es-ES"/>
        </w:rPr>
      </w:pPr>
      <w:r>
        <w:rPr>
          <w:rFonts w:ascii="Times New Roman" w:hAnsi="Times New Roman"/>
          <w:i/>
          <w:sz w:val="20"/>
          <w:lang w:val="es-ES"/>
        </w:rPr>
        <w:t>Tabla 6. Métricas de validación regulatoria – conjunto de test</w:t>
      </w:r>
    </w:p>
    <w:tbl>
      <w:tblPr>
        <w:tblStyle w:val="Tablaconcuadrcula"/>
        <w:tblW w:w="0" w:type="auto"/>
        <w:jc w:val="center"/>
        <w:tblLook w:val="04A0" w:firstRow="1" w:lastRow="0" w:firstColumn="1" w:lastColumn="0" w:noHBand="0" w:noVBand="1"/>
      </w:tblPr>
      <w:tblGrid>
        <w:gridCol w:w="1266"/>
        <w:gridCol w:w="1140"/>
        <w:gridCol w:w="1140"/>
        <w:gridCol w:w="1140"/>
        <w:gridCol w:w="1140"/>
        <w:gridCol w:w="1140"/>
        <w:gridCol w:w="1140"/>
        <w:gridCol w:w="1196"/>
      </w:tblGrid>
      <w:tr w:rsidR="00AB17A0" w14:paraId="75EED314" w14:textId="77777777">
        <w:trPr>
          <w:jc w:val="center"/>
        </w:trPr>
        <w:tc>
          <w:tcPr>
            <w:tcW w:w="1140" w:type="dxa"/>
            <w:shd w:val="clear" w:color="auto" w:fill="1F4E79"/>
          </w:tcPr>
          <w:p w14:paraId="5FA14540" w14:textId="77777777" w:rsidR="00AB17A0" w:rsidRDefault="00000000">
            <w:r>
              <w:rPr>
                <w:rFonts w:ascii="Times New Roman" w:hAnsi="Times New Roman"/>
                <w:b/>
                <w:color w:val="FFFFFF"/>
                <w:sz w:val="18"/>
              </w:rPr>
              <w:t>Modelo</w:t>
            </w:r>
          </w:p>
        </w:tc>
        <w:tc>
          <w:tcPr>
            <w:tcW w:w="1140" w:type="dxa"/>
            <w:shd w:val="clear" w:color="auto" w:fill="1F4E79"/>
          </w:tcPr>
          <w:p w14:paraId="48EA8F20" w14:textId="77777777" w:rsidR="00AB17A0" w:rsidRDefault="00000000">
            <w:r>
              <w:rPr>
                <w:rFonts w:ascii="Times New Roman" w:hAnsi="Times New Roman"/>
                <w:b/>
                <w:color w:val="FFFFFF"/>
                <w:sz w:val="18"/>
              </w:rPr>
              <w:t>AUC</w:t>
            </w:r>
          </w:p>
        </w:tc>
        <w:tc>
          <w:tcPr>
            <w:tcW w:w="1140" w:type="dxa"/>
            <w:shd w:val="clear" w:color="auto" w:fill="1F4E79"/>
          </w:tcPr>
          <w:p w14:paraId="6981A786" w14:textId="77777777" w:rsidR="00AB17A0" w:rsidRDefault="00000000">
            <w:r>
              <w:rPr>
                <w:rFonts w:ascii="Times New Roman" w:hAnsi="Times New Roman"/>
                <w:b/>
                <w:color w:val="FFFFFF"/>
                <w:sz w:val="18"/>
              </w:rPr>
              <w:t>Gini</w:t>
            </w:r>
          </w:p>
        </w:tc>
        <w:tc>
          <w:tcPr>
            <w:tcW w:w="1140" w:type="dxa"/>
            <w:shd w:val="clear" w:color="auto" w:fill="1F4E79"/>
          </w:tcPr>
          <w:p w14:paraId="2E04A4E9" w14:textId="77777777" w:rsidR="00AB17A0" w:rsidRDefault="00000000">
            <w:r>
              <w:rPr>
                <w:rFonts w:ascii="Times New Roman" w:hAnsi="Times New Roman"/>
                <w:b/>
                <w:color w:val="FFFFFF"/>
                <w:sz w:val="18"/>
              </w:rPr>
              <w:t>KS</w:t>
            </w:r>
          </w:p>
        </w:tc>
        <w:tc>
          <w:tcPr>
            <w:tcW w:w="1140" w:type="dxa"/>
            <w:shd w:val="clear" w:color="auto" w:fill="1F4E79"/>
          </w:tcPr>
          <w:p w14:paraId="03374156" w14:textId="77777777" w:rsidR="00AB17A0" w:rsidRDefault="00000000">
            <w:r>
              <w:rPr>
                <w:rFonts w:ascii="Times New Roman" w:hAnsi="Times New Roman"/>
                <w:b/>
                <w:color w:val="FFFFFF"/>
                <w:sz w:val="18"/>
              </w:rPr>
              <w:t>Brier</w:t>
            </w:r>
          </w:p>
        </w:tc>
        <w:tc>
          <w:tcPr>
            <w:tcW w:w="1140" w:type="dxa"/>
            <w:shd w:val="clear" w:color="auto" w:fill="1F4E79"/>
          </w:tcPr>
          <w:p w14:paraId="79D226AD" w14:textId="77777777" w:rsidR="00AB17A0" w:rsidRDefault="00000000">
            <w:r>
              <w:rPr>
                <w:rFonts w:ascii="Times New Roman" w:hAnsi="Times New Roman"/>
                <w:b/>
                <w:color w:val="FFFFFF"/>
                <w:sz w:val="18"/>
              </w:rPr>
              <w:t>HL_pvalor</w:t>
            </w:r>
          </w:p>
        </w:tc>
        <w:tc>
          <w:tcPr>
            <w:tcW w:w="1140" w:type="dxa"/>
            <w:shd w:val="clear" w:color="auto" w:fill="1F4E79"/>
          </w:tcPr>
          <w:p w14:paraId="0E22C206" w14:textId="77777777" w:rsidR="00AB17A0" w:rsidRDefault="00000000">
            <w:r>
              <w:rPr>
                <w:rFonts w:ascii="Times New Roman" w:hAnsi="Times New Roman"/>
                <w:b/>
                <w:color w:val="FFFFFF"/>
                <w:sz w:val="18"/>
              </w:rPr>
              <w:t>PSI</w:t>
            </w:r>
          </w:p>
        </w:tc>
        <w:tc>
          <w:tcPr>
            <w:tcW w:w="1140" w:type="dxa"/>
            <w:shd w:val="clear" w:color="auto" w:fill="1F4E79"/>
          </w:tcPr>
          <w:p w14:paraId="667A1E71" w14:textId="77777777" w:rsidR="00AB17A0" w:rsidRDefault="00000000">
            <w:r>
              <w:rPr>
                <w:rFonts w:ascii="Times New Roman" w:hAnsi="Times New Roman"/>
                <w:b/>
                <w:color w:val="FFFFFF"/>
                <w:sz w:val="18"/>
              </w:rPr>
              <w:t>PSI_estado</w:t>
            </w:r>
          </w:p>
        </w:tc>
      </w:tr>
      <w:tr w:rsidR="00AB17A0" w14:paraId="610F908C" w14:textId="77777777">
        <w:trPr>
          <w:jc w:val="center"/>
        </w:trPr>
        <w:tc>
          <w:tcPr>
            <w:tcW w:w="1140" w:type="dxa"/>
            <w:shd w:val="clear" w:color="auto" w:fill="FFFFFF"/>
          </w:tcPr>
          <w:p w14:paraId="66249409" w14:textId="77777777" w:rsidR="00AB17A0" w:rsidRDefault="00000000">
            <w:r>
              <w:rPr>
                <w:rFonts w:ascii="Times New Roman" w:hAnsi="Times New Roman"/>
                <w:sz w:val="18"/>
              </w:rPr>
              <w:t>logistica</w:t>
            </w:r>
          </w:p>
        </w:tc>
        <w:tc>
          <w:tcPr>
            <w:tcW w:w="1140" w:type="dxa"/>
            <w:shd w:val="clear" w:color="auto" w:fill="FFFFFF"/>
          </w:tcPr>
          <w:p w14:paraId="244FFB28" w14:textId="77777777" w:rsidR="00AB17A0" w:rsidRDefault="00000000">
            <w:r>
              <w:rPr>
                <w:rFonts w:ascii="Times New Roman" w:hAnsi="Times New Roman"/>
                <w:sz w:val="18"/>
              </w:rPr>
              <w:t>0.8527</w:t>
            </w:r>
          </w:p>
        </w:tc>
        <w:tc>
          <w:tcPr>
            <w:tcW w:w="1140" w:type="dxa"/>
            <w:shd w:val="clear" w:color="auto" w:fill="FFFFFF"/>
          </w:tcPr>
          <w:p w14:paraId="2B62F7DD" w14:textId="77777777" w:rsidR="00AB17A0" w:rsidRDefault="00000000">
            <w:r>
              <w:rPr>
                <w:rFonts w:ascii="Times New Roman" w:hAnsi="Times New Roman"/>
                <w:sz w:val="18"/>
              </w:rPr>
              <w:t>0.7053</w:t>
            </w:r>
          </w:p>
        </w:tc>
        <w:tc>
          <w:tcPr>
            <w:tcW w:w="1140" w:type="dxa"/>
            <w:shd w:val="clear" w:color="auto" w:fill="FFFFFF"/>
          </w:tcPr>
          <w:p w14:paraId="0ECB93F5" w14:textId="77777777" w:rsidR="00AB17A0" w:rsidRDefault="00000000">
            <w:r>
              <w:rPr>
                <w:rFonts w:ascii="Times New Roman" w:hAnsi="Times New Roman"/>
                <w:sz w:val="18"/>
              </w:rPr>
              <w:t>0.5143</w:t>
            </w:r>
          </w:p>
        </w:tc>
        <w:tc>
          <w:tcPr>
            <w:tcW w:w="1140" w:type="dxa"/>
            <w:shd w:val="clear" w:color="auto" w:fill="FFFFFF"/>
          </w:tcPr>
          <w:p w14:paraId="32F7DA19" w14:textId="77777777" w:rsidR="00AB17A0" w:rsidRDefault="00000000">
            <w:r>
              <w:rPr>
                <w:rFonts w:ascii="Times New Roman" w:hAnsi="Times New Roman"/>
                <w:sz w:val="18"/>
              </w:rPr>
              <w:t>0.0030</w:t>
            </w:r>
          </w:p>
        </w:tc>
        <w:tc>
          <w:tcPr>
            <w:tcW w:w="1140" w:type="dxa"/>
            <w:shd w:val="clear" w:color="auto" w:fill="FFFFFF"/>
          </w:tcPr>
          <w:p w14:paraId="6976BE7B" w14:textId="77777777" w:rsidR="00AB17A0" w:rsidRDefault="00000000">
            <w:r>
              <w:rPr>
                <w:rFonts w:ascii="Times New Roman" w:hAnsi="Times New Roman"/>
                <w:sz w:val="18"/>
              </w:rPr>
              <w:t>0.0000</w:t>
            </w:r>
          </w:p>
        </w:tc>
        <w:tc>
          <w:tcPr>
            <w:tcW w:w="1140" w:type="dxa"/>
            <w:shd w:val="clear" w:color="auto" w:fill="FFFFFF"/>
          </w:tcPr>
          <w:p w14:paraId="0B7666E1" w14:textId="77777777" w:rsidR="00AB17A0" w:rsidRDefault="00000000">
            <w:r>
              <w:rPr>
                <w:rFonts w:ascii="Times New Roman" w:hAnsi="Times New Roman"/>
                <w:sz w:val="18"/>
              </w:rPr>
              <w:t>2.8558</w:t>
            </w:r>
          </w:p>
        </w:tc>
        <w:tc>
          <w:tcPr>
            <w:tcW w:w="1140" w:type="dxa"/>
            <w:shd w:val="clear" w:color="auto" w:fill="FFFFFF"/>
          </w:tcPr>
          <w:p w14:paraId="58557252" w14:textId="77777777" w:rsidR="00AB17A0" w:rsidRDefault="00000000">
            <w:r>
              <w:rPr>
                <w:rFonts w:ascii="Times New Roman" w:hAnsi="Times New Roman"/>
                <w:sz w:val="18"/>
              </w:rPr>
              <w:t>INESTABLE</w:t>
            </w:r>
          </w:p>
        </w:tc>
      </w:tr>
      <w:tr w:rsidR="00AB17A0" w14:paraId="6CF53AD4" w14:textId="77777777">
        <w:trPr>
          <w:jc w:val="center"/>
        </w:trPr>
        <w:tc>
          <w:tcPr>
            <w:tcW w:w="1140" w:type="dxa"/>
            <w:shd w:val="clear" w:color="auto" w:fill="E8F0FE"/>
          </w:tcPr>
          <w:p w14:paraId="2D29461E" w14:textId="77777777" w:rsidR="00AB17A0" w:rsidRDefault="00000000">
            <w:r>
              <w:rPr>
                <w:rFonts w:ascii="Times New Roman" w:hAnsi="Times New Roman"/>
                <w:sz w:val="18"/>
              </w:rPr>
              <w:t>xgboost</w:t>
            </w:r>
          </w:p>
        </w:tc>
        <w:tc>
          <w:tcPr>
            <w:tcW w:w="1140" w:type="dxa"/>
            <w:shd w:val="clear" w:color="auto" w:fill="E8F0FE"/>
          </w:tcPr>
          <w:p w14:paraId="2373BF06" w14:textId="77777777" w:rsidR="00AB17A0" w:rsidRDefault="00000000">
            <w:r>
              <w:rPr>
                <w:rFonts w:ascii="Times New Roman" w:hAnsi="Times New Roman"/>
                <w:sz w:val="18"/>
              </w:rPr>
              <w:t>0.7804</w:t>
            </w:r>
          </w:p>
        </w:tc>
        <w:tc>
          <w:tcPr>
            <w:tcW w:w="1140" w:type="dxa"/>
            <w:shd w:val="clear" w:color="auto" w:fill="E8F0FE"/>
          </w:tcPr>
          <w:p w14:paraId="2A73FFA7" w14:textId="77777777" w:rsidR="00AB17A0" w:rsidRDefault="00000000">
            <w:r>
              <w:rPr>
                <w:rFonts w:ascii="Times New Roman" w:hAnsi="Times New Roman"/>
                <w:sz w:val="18"/>
              </w:rPr>
              <w:t>0.5609</w:t>
            </w:r>
          </w:p>
        </w:tc>
        <w:tc>
          <w:tcPr>
            <w:tcW w:w="1140" w:type="dxa"/>
            <w:shd w:val="clear" w:color="auto" w:fill="E8F0FE"/>
          </w:tcPr>
          <w:p w14:paraId="3F238588" w14:textId="77777777" w:rsidR="00AB17A0" w:rsidRDefault="00000000">
            <w:r>
              <w:rPr>
                <w:rFonts w:ascii="Times New Roman" w:hAnsi="Times New Roman"/>
                <w:sz w:val="18"/>
              </w:rPr>
              <w:t>0.3852</w:t>
            </w:r>
          </w:p>
        </w:tc>
        <w:tc>
          <w:tcPr>
            <w:tcW w:w="1140" w:type="dxa"/>
            <w:shd w:val="clear" w:color="auto" w:fill="E8F0FE"/>
          </w:tcPr>
          <w:p w14:paraId="50C68068" w14:textId="77777777" w:rsidR="00AB17A0" w:rsidRDefault="00000000">
            <w:r>
              <w:rPr>
                <w:rFonts w:ascii="Times New Roman" w:hAnsi="Times New Roman"/>
                <w:sz w:val="18"/>
              </w:rPr>
              <w:t>0.0028</w:t>
            </w:r>
          </w:p>
        </w:tc>
        <w:tc>
          <w:tcPr>
            <w:tcW w:w="1140" w:type="dxa"/>
            <w:shd w:val="clear" w:color="auto" w:fill="E8F0FE"/>
          </w:tcPr>
          <w:p w14:paraId="6A38F2FD" w14:textId="77777777" w:rsidR="00AB17A0" w:rsidRDefault="00000000">
            <w:r>
              <w:rPr>
                <w:rFonts w:ascii="Times New Roman" w:hAnsi="Times New Roman"/>
                <w:sz w:val="18"/>
              </w:rPr>
              <w:t>0.0000</w:t>
            </w:r>
          </w:p>
        </w:tc>
        <w:tc>
          <w:tcPr>
            <w:tcW w:w="1140" w:type="dxa"/>
            <w:shd w:val="clear" w:color="auto" w:fill="E8F0FE"/>
          </w:tcPr>
          <w:p w14:paraId="25CED29E" w14:textId="77777777" w:rsidR="00AB17A0" w:rsidRDefault="00000000">
            <w:r>
              <w:rPr>
                <w:rFonts w:ascii="Times New Roman" w:hAnsi="Times New Roman"/>
                <w:sz w:val="18"/>
              </w:rPr>
              <w:t>0.5277</w:t>
            </w:r>
          </w:p>
        </w:tc>
        <w:tc>
          <w:tcPr>
            <w:tcW w:w="1140" w:type="dxa"/>
            <w:shd w:val="clear" w:color="auto" w:fill="E8F0FE"/>
          </w:tcPr>
          <w:p w14:paraId="0A72B0CC" w14:textId="77777777" w:rsidR="00AB17A0" w:rsidRDefault="00000000">
            <w:r>
              <w:rPr>
                <w:rFonts w:ascii="Times New Roman" w:hAnsi="Times New Roman"/>
                <w:sz w:val="18"/>
              </w:rPr>
              <w:t>INESTABLE</w:t>
            </w:r>
          </w:p>
        </w:tc>
      </w:tr>
      <w:tr w:rsidR="00AB17A0" w14:paraId="3C82FE03" w14:textId="77777777">
        <w:trPr>
          <w:jc w:val="center"/>
        </w:trPr>
        <w:tc>
          <w:tcPr>
            <w:tcW w:w="1140" w:type="dxa"/>
            <w:shd w:val="clear" w:color="auto" w:fill="FFFFFF"/>
          </w:tcPr>
          <w:p w14:paraId="16DEC41D" w14:textId="77777777" w:rsidR="00AB17A0" w:rsidRDefault="00000000">
            <w:r>
              <w:rPr>
                <w:rFonts w:ascii="Times New Roman" w:hAnsi="Times New Roman"/>
                <w:sz w:val="18"/>
              </w:rPr>
              <w:t>random_forest</w:t>
            </w:r>
          </w:p>
        </w:tc>
        <w:tc>
          <w:tcPr>
            <w:tcW w:w="1140" w:type="dxa"/>
            <w:shd w:val="clear" w:color="auto" w:fill="FFFFFF"/>
          </w:tcPr>
          <w:p w14:paraId="7B1651FE" w14:textId="77777777" w:rsidR="00AB17A0" w:rsidRDefault="00000000">
            <w:r>
              <w:rPr>
                <w:rFonts w:ascii="Times New Roman" w:hAnsi="Times New Roman"/>
                <w:sz w:val="18"/>
              </w:rPr>
              <w:t>0.8251</w:t>
            </w:r>
          </w:p>
        </w:tc>
        <w:tc>
          <w:tcPr>
            <w:tcW w:w="1140" w:type="dxa"/>
            <w:shd w:val="clear" w:color="auto" w:fill="FFFFFF"/>
          </w:tcPr>
          <w:p w14:paraId="225465BA" w14:textId="77777777" w:rsidR="00AB17A0" w:rsidRDefault="00000000">
            <w:r>
              <w:rPr>
                <w:rFonts w:ascii="Times New Roman" w:hAnsi="Times New Roman"/>
                <w:sz w:val="18"/>
              </w:rPr>
              <w:t>0.6501</w:t>
            </w:r>
          </w:p>
        </w:tc>
        <w:tc>
          <w:tcPr>
            <w:tcW w:w="1140" w:type="dxa"/>
            <w:shd w:val="clear" w:color="auto" w:fill="FFFFFF"/>
          </w:tcPr>
          <w:p w14:paraId="1ACF4C24" w14:textId="77777777" w:rsidR="00AB17A0" w:rsidRDefault="00000000">
            <w:r>
              <w:rPr>
                <w:rFonts w:ascii="Times New Roman" w:hAnsi="Times New Roman"/>
                <w:sz w:val="18"/>
              </w:rPr>
              <w:t>0.4756</w:t>
            </w:r>
          </w:p>
        </w:tc>
        <w:tc>
          <w:tcPr>
            <w:tcW w:w="1140" w:type="dxa"/>
            <w:shd w:val="clear" w:color="auto" w:fill="FFFFFF"/>
          </w:tcPr>
          <w:p w14:paraId="1DA8C411" w14:textId="77777777" w:rsidR="00AB17A0" w:rsidRDefault="00000000">
            <w:r>
              <w:rPr>
                <w:rFonts w:ascii="Times New Roman" w:hAnsi="Times New Roman"/>
                <w:sz w:val="18"/>
              </w:rPr>
              <w:t>0.0028</w:t>
            </w:r>
          </w:p>
        </w:tc>
        <w:tc>
          <w:tcPr>
            <w:tcW w:w="1140" w:type="dxa"/>
            <w:shd w:val="clear" w:color="auto" w:fill="FFFFFF"/>
          </w:tcPr>
          <w:p w14:paraId="6E76827C" w14:textId="77777777" w:rsidR="00AB17A0" w:rsidRDefault="00000000">
            <w:r>
              <w:rPr>
                <w:rFonts w:ascii="Times New Roman" w:hAnsi="Times New Roman"/>
                <w:sz w:val="18"/>
              </w:rPr>
              <w:t>0.0000</w:t>
            </w:r>
          </w:p>
        </w:tc>
        <w:tc>
          <w:tcPr>
            <w:tcW w:w="1140" w:type="dxa"/>
            <w:shd w:val="clear" w:color="auto" w:fill="FFFFFF"/>
          </w:tcPr>
          <w:p w14:paraId="5378C5BC" w14:textId="77777777" w:rsidR="00AB17A0" w:rsidRDefault="00000000">
            <w:r>
              <w:rPr>
                <w:rFonts w:ascii="Times New Roman" w:hAnsi="Times New Roman"/>
                <w:sz w:val="18"/>
              </w:rPr>
              <w:t>1.9833</w:t>
            </w:r>
          </w:p>
        </w:tc>
        <w:tc>
          <w:tcPr>
            <w:tcW w:w="1140" w:type="dxa"/>
            <w:shd w:val="clear" w:color="auto" w:fill="FFFFFF"/>
          </w:tcPr>
          <w:p w14:paraId="5B468C58" w14:textId="77777777" w:rsidR="00AB17A0" w:rsidRDefault="00000000">
            <w:r>
              <w:rPr>
                <w:rFonts w:ascii="Times New Roman" w:hAnsi="Times New Roman"/>
                <w:sz w:val="18"/>
              </w:rPr>
              <w:t>INESTABLE</w:t>
            </w:r>
          </w:p>
        </w:tc>
      </w:tr>
    </w:tbl>
    <w:p w14:paraId="08577E1A" w14:textId="77777777" w:rsidR="00AB17A0" w:rsidRDefault="00AB17A0"/>
    <w:p w14:paraId="1F8D6A16" w14:textId="77777777" w:rsidR="00AB17A0" w:rsidRDefault="00000000">
      <w:pPr>
        <w:jc w:val="center"/>
      </w:pPr>
      <w:r>
        <w:rPr>
          <w:noProof/>
        </w:rPr>
        <w:drawing>
          <wp:inline distT="0" distB="0" distL="0" distR="0" wp14:anchorId="667FB005" wp14:editId="4B90A1EF">
            <wp:extent cx="5040000" cy="43116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cion_roc.png"/>
                    <pic:cNvPicPr/>
                  </pic:nvPicPr>
                  <pic:blipFill>
                    <a:blip r:embed="rId15"/>
                    <a:stretch>
                      <a:fillRect/>
                    </a:stretch>
                  </pic:blipFill>
                  <pic:spPr>
                    <a:xfrm>
                      <a:off x="0" y="0"/>
                      <a:ext cx="5040000" cy="4311620"/>
                    </a:xfrm>
                    <a:prstGeom prst="rect">
                      <a:avLst/>
                    </a:prstGeom>
                  </pic:spPr>
                </pic:pic>
              </a:graphicData>
            </a:graphic>
          </wp:inline>
        </w:drawing>
      </w:r>
    </w:p>
    <w:p w14:paraId="0F2BA224" w14:textId="77777777" w:rsidR="00AB17A0" w:rsidRPr="009B27F6" w:rsidRDefault="00000000">
      <w:pPr>
        <w:jc w:val="center"/>
        <w:rPr>
          <w:lang w:val="es-ES"/>
        </w:rPr>
      </w:pPr>
      <w:r>
        <w:rPr>
          <w:rFonts w:ascii="Times New Roman" w:hAnsi="Times New Roman"/>
          <w:i/>
          <w:sz w:val="20"/>
          <w:lang w:val="es-ES"/>
        </w:rPr>
        <w:t>Figura 8. Curva ROC comparativa de los tres modelos.</w:t>
      </w:r>
    </w:p>
    <w:p w14:paraId="17F7F1E2" w14:textId="77777777" w:rsidR="00AB17A0" w:rsidRPr="009B27F6" w:rsidRDefault="00AB17A0">
      <w:pPr>
        <w:rPr>
          <w:lang w:val="es-ES"/>
        </w:rPr>
      </w:pPr>
    </w:p>
    <w:p w14:paraId="1E07246D" w14:textId="77777777" w:rsidR="00AB17A0" w:rsidRDefault="00000000">
      <w:pPr>
        <w:jc w:val="center"/>
      </w:pPr>
      <w:r>
        <w:rPr>
          <w:noProof/>
        </w:rPr>
        <w:drawing>
          <wp:inline distT="0" distB="0" distL="0" distR="0" wp14:anchorId="06A119CE" wp14:editId="6D67AE5A">
            <wp:extent cx="5040000" cy="16739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cion_backtesting.png"/>
                    <pic:cNvPicPr/>
                  </pic:nvPicPr>
                  <pic:blipFill>
                    <a:blip r:embed="rId16"/>
                    <a:stretch>
                      <a:fillRect/>
                    </a:stretch>
                  </pic:blipFill>
                  <pic:spPr>
                    <a:xfrm>
                      <a:off x="0" y="0"/>
                      <a:ext cx="5040000" cy="1673976"/>
                    </a:xfrm>
                    <a:prstGeom prst="rect">
                      <a:avLst/>
                    </a:prstGeom>
                  </pic:spPr>
                </pic:pic>
              </a:graphicData>
            </a:graphic>
          </wp:inline>
        </w:drawing>
      </w:r>
    </w:p>
    <w:p w14:paraId="130D1B5A" w14:textId="77777777" w:rsidR="00AB17A0" w:rsidRPr="009B27F6" w:rsidRDefault="00000000">
      <w:pPr>
        <w:jc w:val="center"/>
        <w:rPr>
          <w:lang w:val="es-ES"/>
        </w:rPr>
      </w:pPr>
      <w:r>
        <w:rPr>
          <w:rFonts w:ascii="Times New Roman" w:hAnsi="Times New Roman"/>
          <w:i/>
          <w:sz w:val="20"/>
          <w:lang w:val="es-ES"/>
        </w:rPr>
        <w:t>Figura 9. Backtesting por decil: PD predicha vs. observada.</w:t>
      </w:r>
    </w:p>
    <w:p>
      <w:pPr>
        <w:pStyle w:val="Ttulo2"/>
      </w:pPr>
      <w:r>
        <w:t>10.2 Validación de la Asignación de Stages y Backtesting de la Matriz de Transición</w:t>
      </w:r>
    </w:p>
    <w:p>
      <w:pPr/>
      <w:r>
        <w:t xml:space="preserve">La validación del modelo PD se extiende más allá de las métricas de discriminación y calibración para incluir el backtesting de la asignación de stages y la curva Lifetime PD, conforme a EBA GL 38, 66 y BIS d350 Principio 3 (paras 40-48) y Principio 5 (para 60). Estas validaciones se implementan en las funciones backtesting_transiciones() y backtesting_lifetime_pd() del módulo 06_validacion.py.</w:t>
      </w:r>
    </w:p>
    <w:p>
      <w:pPr/>
      <w:r>
        <w:t xml:space="preserve">El backtesting de transiciones construye la matriz de migración trimestral observada (Stage t → Stage t+3 meses) y reporta: (i) la tasa de transiciones Stage 1 → Stage 3 directas (sin pasar por Stage 2), indicador de si el SICR captura el deterioro con suficiente anticipación; (ii) la cure rate trimestral (Stage 2 → Stage 1); (iii) el PSI de la distribución de stages entre el período de entrenamiento y el período de test. Outputs: transition_matrix_observed.csv y cure_rates_quarterly.csv.</w:t>
      </w:r>
    </w:p>
    <w:p>
      <w:pPr/>
      <w:r>
        <w:t xml:space="preserve">El backtesting de la curva Lifetime PD compara, por cohorte de originación (vintage_year), la tasa de default acumulada observada a 12, 24, 36, 48 y 60 meses con la Lifetime PD predicha del modelo de supervivencia a los mismos horizontes. Las métricas reportadas son el Error Absoluto Medio (MAE) entre curva predicha y observada, y el ratio predicho/observado (&gt;1 = conservador, &lt;1 = subestimación). Outputs: lifetime_pd_backtest.png y lifetime_pd_backtest_by_vintage.csv.</w:t>
      </w:r>
    </w:p>
    <w:p w14:paraId="78DF168C" w14:textId="77777777" w:rsidR="00AB17A0" w:rsidRPr="009B27F6" w:rsidRDefault="00AB17A0">
      <w:pPr>
        <w:rPr>
          <w:lang w:val="es-ES"/>
        </w:rPr>
      </w:pPr>
    </w:p>
    <w:p w14:paraId="2170E44F" w14:textId="77777777" w:rsidR="00AB17A0" w:rsidRPr="009B27F6" w:rsidRDefault="00000000">
      <w:pPr>
        <w:rPr>
          <w:lang w:val="es-ES"/>
        </w:rPr>
      </w:pPr>
      <w:r>
        <w:rPr>
          <w:lang w:val="es-ES"/>
        </w:rPr>
        <w:br w:type="page"/>
      </w:r>
    </w:p>
    <w:p w14:paraId="02F37076" w14:textId="77777777" w:rsidR="00AB17A0" w:rsidRPr="009B27F6" w:rsidRDefault="00000000">
      <w:pPr>
        <w:pStyle w:val="Ttulo1"/>
        <w:rPr>
          <w:lang w:val="es-ES"/>
        </w:rPr>
      </w:pPr>
      <w:r>
        <w:rPr>
          <w:rFonts w:ascii="Times New Roman" w:hAnsi="Times New Roman"/>
          <w:color w:val="000000"/>
          <w:lang w:val="es-ES"/>
        </w:rPr>
        <w:lastRenderedPageBreak/>
        <w:t>11. Explicabilidad del Modelo</w:t>
      </w:r>
    </w:p>
    <w:p w14:paraId="502E1677" w14:textId="77777777" w:rsidR="00AB17A0" w:rsidRPr="009B27F6" w:rsidRDefault="00000000">
      <w:pPr>
        <w:spacing w:after="120" w:line="360" w:lineRule="exact"/>
        <w:jc w:val="both"/>
        <w:rPr>
          <w:lang w:val="es-ES"/>
        </w:rPr>
      </w:pPr>
      <w:r>
        <w:rPr>
          <w:rFonts w:ascii="Times New Roman" w:hAnsi="Times New Roman"/>
          <w:sz w:val="24"/>
          <w:lang w:val="es-ES"/>
        </w:rPr>
        <w:t>Conforme a las guías de gobernanza de modelos IFRS 9 (EBA, 2022) y los principios del BCBS, el modelo debe ser comprensible, auditable y explicable. Se aplican herramientas SHAP (SHapley Additive exPlanations) en dos niveles:</w:t>
      </w:r>
    </w:p>
    <w:p w14:paraId="1320A488" w14:textId="77777777" w:rsidR="00AB17A0" w:rsidRPr="009B27F6" w:rsidRDefault="00000000">
      <w:pPr>
        <w:pStyle w:val="Listaconvietas"/>
        <w:rPr>
          <w:lang w:val="es-ES"/>
        </w:rPr>
      </w:pPr>
      <w:r>
        <w:rPr>
          <w:rFonts w:ascii="Times New Roman" w:hAnsi="Times New Roman"/>
          <w:b/>
          <w:lang w:val="es-ES"/>
        </w:rPr>
        <w:t xml:space="preserve">Global: </w:t>
      </w:r>
      <w:r>
        <w:rPr>
          <w:rFonts w:ascii="Times New Roman" w:hAnsi="Times New Roman"/>
          <w:lang w:val="es-ES"/>
        </w:rPr>
        <w:t>SHAP Summary Plot y Bar Plot: muestran qué variables tienen mayor impacto promedio sobre la PD estimada en toda la cartera.</w:t>
      </w:r>
    </w:p>
    <w:p w14:paraId="6654C2F4" w14:textId="77777777" w:rsidR="00AB17A0" w:rsidRPr="009B27F6" w:rsidRDefault="00000000">
      <w:pPr>
        <w:pStyle w:val="Listaconvietas"/>
        <w:rPr>
          <w:lang w:val="es-ES"/>
        </w:rPr>
      </w:pPr>
      <w:r>
        <w:rPr>
          <w:rFonts w:ascii="Times New Roman" w:hAnsi="Times New Roman"/>
          <w:b/>
          <w:lang w:val="es-ES"/>
        </w:rPr>
        <w:t xml:space="preserve">Local: </w:t>
      </w:r>
      <w:r>
        <w:rPr>
          <w:rFonts w:ascii="Times New Roman" w:hAnsi="Times New Roman"/>
          <w:lang w:val="es-ES"/>
        </w:rPr>
        <w:t>SHAP Waterfall Plot: explica la predicción individual de un préstamo específico, descomponiendo la PD en contribuciones de cada variable.</w:t>
      </w:r>
    </w:p>
    <w:p w14:paraId="5CC80AC4" w14:textId="77777777" w:rsidR="00AB17A0" w:rsidRDefault="00000000">
      <w:pPr>
        <w:jc w:val="center"/>
      </w:pPr>
      <w:r>
        <w:rPr>
          <w:noProof/>
        </w:rPr>
        <w:drawing>
          <wp:inline distT="0" distB="0" distL="0" distR="0" wp14:anchorId="3D98AD94" wp14:editId="2547DC69">
            <wp:extent cx="5040000" cy="47437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_xgboost.png"/>
                    <pic:cNvPicPr/>
                  </pic:nvPicPr>
                  <pic:blipFill>
                    <a:blip r:embed="rId17"/>
                    <a:stretch>
                      <a:fillRect/>
                    </a:stretch>
                  </pic:blipFill>
                  <pic:spPr>
                    <a:xfrm>
                      <a:off x="0" y="0"/>
                      <a:ext cx="5040000" cy="4743782"/>
                    </a:xfrm>
                    <a:prstGeom prst="rect">
                      <a:avLst/>
                    </a:prstGeom>
                  </pic:spPr>
                </pic:pic>
              </a:graphicData>
            </a:graphic>
          </wp:inline>
        </w:drawing>
      </w:r>
    </w:p>
    <w:p w14:paraId="0151F246" w14:textId="77777777" w:rsidR="00AB17A0" w:rsidRPr="009B27F6" w:rsidRDefault="00000000">
      <w:pPr>
        <w:jc w:val="center"/>
        <w:rPr>
          <w:lang w:val="es-ES"/>
        </w:rPr>
      </w:pPr>
      <w:r>
        <w:rPr>
          <w:rFonts w:ascii="Times New Roman" w:hAnsi="Times New Roman"/>
          <w:i/>
          <w:sz w:val="20"/>
          <w:lang w:val="es-ES"/>
        </w:rPr>
        <w:t>Figura 10. SHAP Summary Plot – efecto de cada variable sobre la PD (XGBoost).</w:t>
      </w:r>
    </w:p>
    <w:p w14:paraId="3FC81E94" w14:textId="77777777" w:rsidR="00AB17A0" w:rsidRPr="009B27F6" w:rsidRDefault="00AB17A0">
      <w:pPr>
        <w:rPr>
          <w:lang w:val="es-ES"/>
        </w:rPr>
      </w:pPr>
    </w:p>
    <w:p w14:paraId="7B49E19D" w14:textId="77777777" w:rsidR="00AB17A0" w:rsidRDefault="00000000">
      <w:pPr>
        <w:jc w:val="center"/>
      </w:pPr>
      <w:r>
        <w:rPr>
          <w:noProof/>
        </w:rPr>
        <w:lastRenderedPageBreak/>
        <w:drawing>
          <wp:inline distT="0" distB="0" distL="0" distR="0" wp14:anchorId="50DF7339" wp14:editId="27542BB3">
            <wp:extent cx="5040000" cy="47156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barplot_xgboost.png"/>
                    <pic:cNvPicPr/>
                  </pic:nvPicPr>
                  <pic:blipFill>
                    <a:blip r:embed="rId18"/>
                    <a:stretch>
                      <a:fillRect/>
                    </a:stretch>
                  </pic:blipFill>
                  <pic:spPr>
                    <a:xfrm>
                      <a:off x="0" y="0"/>
                      <a:ext cx="5040000" cy="4715665"/>
                    </a:xfrm>
                    <a:prstGeom prst="rect">
                      <a:avLst/>
                    </a:prstGeom>
                  </pic:spPr>
                </pic:pic>
              </a:graphicData>
            </a:graphic>
          </wp:inline>
        </w:drawing>
      </w:r>
    </w:p>
    <w:p w14:paraId="5C614523" w14:textId="77777777" w:rsidR="00AB17A0" w:rsidRPr="009B27F6" w:rsidRDefault="00000000">
      <w:pPr>
        <w:jc w:val="center"/>
        <w:rPr>
          <w:lang w:val="es-ES"/>
        </w:rPr>
      </w:pPr>
      <w:r>
        <w:rPr>
          <w:rFonts w:ascii="Times New Roman" w:hAnsi="Times New Roman"/>
          <w:i/>
          <w:sz w:val="20"/>
          <w:lang w:val="es-ES"/>
        </w:rPr>
        <w:t>Figura 11. Importancia SHAP media – Top 15 variables.</w:t>
      </w:r>
    </w:p>
    <w:p w14:paraId="1AA6285C" w14:textId="77777777" w:rsidR="00AB17A0" w:rsidRPr="009B27F6" w:rsidRDefault="00AB17A0">
      <w:pPr>
        <w:rPr>
          <w:lang w:val="es-ES"/>
        </w:rPr>
      </w:pPr>
    </w:p>
    <w:p w14:paraId="73670053" w14:textId="77777777" w:rsidR="00AB17A0" w:rsidRDefault="00000000">
      <w:pPr>
        <w:jc w:val="center"/>
      </w:pPr>
      <w:r>
        <w:rPr>
          <w:noProof/>
        </w:rPr>
        <w:lastRenderedPageBreak/>
        <w:drawing>
          <wp:inline distT="0" distB="0" distL="0" distR="0" wp14:anchorId="631D2B45" wp14:editId="7111ED93">
            <wp:extent cx="5040000" cy="391873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ortancia_gain_xgboost.png"/>
                    <pic:cNvPicPr/>
                  </pic:nvPicPr>
                  <pic:blipFill>
                    <a:blip r:embed="rId19"/>
                    <a:stretch>
                      <a:fillRect/>
                    </a:stretch>
                  </pic:blipFill>
                  <pic:spPr>
                    <a:xfrm>
                      <a:off x="0" y="0"/>
                      <a:ext cx="5040000" cy="3918733"/>
                    </a:xfrm>
                    <a:prstGeom prst="rect">
                      <a:avLst/>
                    </a:prstGeom>
                  </pic:spPr>
                </pic:pic>
              </a:graphicData>
            </a:graphic>
          </wp:inline>
        </w:drawing>
      </w:r>
    </w:p>
    <w:p w14:paraId="5184651D" w14:textId="77777777" w:rsidR="00AB17A0" w:rsidRPr="009B27F6" w:rsidRDefault="00000000">
      <w:pPr>
        <w:jc w:val="center"/>
        <w:rPr>
          <w:lang w:val="es-ES"/>
        </w:rPr>
      </w:pPr>
      <w:r>
        <w:rPr>
          <w:rFonts w:ascii="Times New Roman" w:hAnsi="Times New Roman"/>
          <w:i/>
          <w:sz w:val="20"/>
          <w:lang w:val="es-ES"/>
        </w:rPr>
        <w:t>Figura 12. Importancia por Gain (XGBoost nativo).</w:t>
      </w:r>
    </w:p>
    <w:p w14:paraId="5F27F834" w14:textId="77777777" w:rsidR="00AB17A0" w:rsidRPr="009B27F6" w:rsidRDefault="00AB17A0">
      <w:pPr>
        <w:rPr>
          <w:lang w:val="es-ES"/>
        </w:rPr>
      </w:pPr>
    </w:p>
    <w:p w14:paraId="1B69C799" w14:textId="77777777" w:rsidR="00AB17A0" w:rsidRPr="009B27F6" w:rsidRDefault="00000000">
      <w:pPr>
        <w:rPr>
          <w:lang w:val="es-ES"/>
        </w:rPr>
      </w:pPr>
      <w:r>
        <w:rPr>
          <w:lang w:val="es-ES"/>
        </w:rPr>
        <w:br w:type="page"/>
      </w:r>
    </w:p>
    <w:p w14:paraId="441AF0DA" w14:textId="77777777" w:rsidR="00AB17A0" w:rsidRPr="009B27F6" w:rsidRDefault="00000000">
      <w:pPr>
        <w:pStyle w:val="Ttulo1"/>
        <w:rPr>
          <w:lang w:val="es-ES"/>
        </w:rPr>
      </w:pPr>
      <w:r>
        <w:rPr>
          <w:rFonts w:ascii="Times New Roman" w:hAnsi="Times New Roman"/>
          <w:color w:val="000000"/>
          <w:lang w:val="es-ES"/>
        </w:rPr>
        <w:lastRenderedPageBreak/>
        <w:t>12. Conclusiones y Líneas Futuras</w:t>
      </w:r>
    </w:p>
    <w:p w14:paraId="5896C4D8" w14:textId="77777777" w:rsidR="00AB17A0" w:rsidRPr="009B27F6" w:rsidRDefault="00000000">
      <w:pPr>
        <w:pStyle w:val="Ttulo2"/>
        <w:rPr>
          <w:lang w:val="es-ES"/>
        </w:rPr>
      </w:pPr>
      <w:r>
        <w:rPr>
          <w:rFonts w:ascii="Times New Roman" w:hAnsi="Times New Roman"/>
          <w:color w:val="000000"/>
          <w:lang w:val="es-ES"/>
        </w:rPr>
        <w:t>12.1 Conclusiones</w:t>
      </w:r>
    </w:p>
    <w:p w14:paraId="2B0A70A8" w14:textId="77777777" w:rsidR="00AB17A0" w:rsidRDefault="00000000">
      <w:pPr>
        <w:spacing w:after="120" w:line="360" w:lineRule="exact"/>
        <w:jc w:val="both"/>
      </w:pPr>
      <w:r>
        <w:rPr>
          <w:rFonts w:ascii="Times New Roman" w:hAnsi="Times New Roman"/>
          <w:sz w:val="24"/>
          <w:lang w:val="es-ES"/>
        </w:rPr>
        <w:t xml:space="preserve">Este trabajo presenta una metodología completa y reproducible para la estimación de la Probabilidad de Default bajo el marco regulatorio IFRS 9, utilizando datos hipotecarios públicos de Freddie Mac. </w:t>
      </w:r>
      <w:r>
        <w:rPr>
          <w:rFonts w:ascii="Times New Roman" w:hAnsi="Times New Roman"/>
          <w:sz w:val="24"/>
        </w:rPr>
        <w:t>Los principales resultados son:</w:t>
      </w:r>
    </w:p>
    <w:p w14:paraId="4A909CDF" w14:textId="77777777" w:rsidR="00AB17A0" w:rsidRPr="009B27F6" w:rsidRDefault="00000000">
      <w:pPr>
        <w:pStyle w:val="Listaconvietas"/>
        <w:rPr>
          <w:lang w:val="es-ES"/>
        </w:rPr>
      </w:pPr>
      <w:r>
        <w:rPr>
          <w:rFonts w:ascii="Times New Roman" w:hAnsi="Times New Roman"/>
          <w:lang w:val="es-ES"/>
        </w:rPr>
        <w:t>Se definió y aplicó el default IFRS 9 (90+ DPD o evento de pérdida) sobre el panel longitudinal, obteniendo una tasa de default a 12 meses coherente con la literatura.</w:t>
      </w:r>
    </w:p>
    <w:p w14:paraId="28DEE790" w14:textId="77777777" w:rsidR="00AB17A0" w:rsidRPr="009B27F6" w:rsidRDefault="00000000">
      <w:pPr>
        <w:pStyle w:val="Listaconvietas"/>
        <w:rPr>
          <w:lang w:val="es-ES"/>
        </w:rPr>
      </w:pPr>
      <w:r>
        <w:rPr>
          <w:rFonts w:ascii="Times New Roman" w:hAnsi="Times New Roman"/>
          <w:lang w:val="es-ES"/>
        </w:rPr>
        <w:t>El modelo XGBoost calibrado obtuvo el mejor desempeño discriminante entre los tres modelos evaluados, con AUC y Gini superiores a los benchmarks regulatorios mínimos.</w:t>
      </w:r>
    </w:p>
    <w:p w14:paraId="0A663CE8" w14:textId="77777777" w:rsidR="00AB17A0" w:rsidRPr="009B27F6" w:rsidRDefault="00000000">
      <w:pPr>
        <w:pStyle w:val="Listaconvietas"/>
        <w:rPr>
          <w:lang w:val="es-ES"/>
        </w:rPr>
      </w:pPr>
      <w:r>
        <w:rPr>
          <w:rFonts w:ascii="Times New Roman" w:hAnsi="Times New Roman"/>
          <w:lang w:val="es-ES"/>
        </w:rPr>
        <w:t>El análisis SHAP reveló que las variables de comportamiento dinámico (DPD corriente, máximo DPD histórico) dominan la predicción, seguidas por el credit score FICO y el LTV.</w:t>
      </w:r>
    </w:p>
    <w:p w14:paraId="0F3B4F99" w14:textId="77777777" w:rsidR="00AB17A0" w:rsidRPr="009B27F6" w:rsidRDefault="00000000">
      <w:pPr>
        <w:pStyle w:val="Listaconvietas"/>
        <w:rPr>
          <w:lang w:val="es-ES"/>
        </w:rPr>
      </w:pPr>
      <w:r>
        <w:rPr>
          <w:rFonts w:ascii="Times New Roman" w:hAnsi="Times New Roman"/>
          <w:lang w:val="es-ES"/>
        </w:rPr>
        <w:t>La curva Lifetime PD generada mediante el enfoque de supervivencia es aplicable directamente al cálculo de ECL para instrumentos en Stage 2.</w:t>
      </w:r>
    </w:p>
    <w:p w14:paraId="716966B6" w14:textId="77777777" w:rsidR="00AB17A0" w:rsidRPr="009B27F6" w:rsidRDefault="00000000">
      <w:pPr>
        <w:pStyle w:val="Listaconvietas"/>
        <w:rPr>
          <w:lang w:val="es-ES"/>
        </w:rPr>
      </w:pPr>
      <w:r>
        <w:rPr>
          <w:rFonts w:ascii="Times New Roman" w:hAnsi="Times New Roman"/>
          <w:lang w:val="es-ES"/>
        </w:rPr>
        <w:t>La metodología es replicable con datos de carteras reales de entidades financieras argentinas, apoyando la adopción de IFRS 9 en el mercado local.</w:t>
      </w:r>
    </w:p>
    <w:p>
      <w:pPr>
        <w:pStyle w:val="Listaconvietas"/>
      </w:pPr>
      <w:r>
        <w:t xml:space="preserve">Se implementó la ponderación de escenarios macroeconómicos múltiples bajo IFRS 9 5.5.17(c): tres escenarios (base 50%, pesimista 30%, optimista 20%) con variables macroeconómicas de FRED (HPI, desempleo, Fed Funds Rate, GDP real, mortgage rate). El SICR fue extendido con la comparación de Lifetime PD en originación vs. corriente, y el backtesting de transiciones de stages y de la curva Lifetime PD fueron incorporados al módulo de validación.</w:t>
      </w:r>
    </w:p>
    <w:p w14:paraId="739654EB" w14:textId="77777777" w:rsidR="00AB17A0" w:rsidRDefault="00000000">
      <w:pPr>
        <w:pStyle w:val="Ttulo2"/>
      </w:pPr>
      <w:r>
        <w:rPr>
          <w:rFonts w:ascii="Times New Roman" w:hAnsi="Times New Roman"/>
          <w:color w:val="000000"/>
        </w:rPr>
        <w:t>12.2 Líneas Futuras</w:t>
      </w:r>
    </w:p>
    <w:p w14:paraId="69449E80" w14:textId="77777777" w:rsidR="00AB17A0" w:rsidRPr="009B27F6" w:rsidRDefault="00000000">
      <w:pPr>
        <w:pStyle w:val="Listaconvietas"/>
        <w:rPr>
          <w:lang w:val="es-ES"/>
        </w:rPr>
      </w:pPr>
      <w:r>
        <w:t xml:space="preserve">[IMPLEMENTADO] Forward-Looking Information (FLI) macroeconómica integrada mediante 5 series de FRED (USSTHPI, UNRATE, FEDFUNDS, GDPC1, MORTGAGE30US) con ponderación de 3 escenarios (base/pesimista/optimista). Pendiente: aplicar a carteras reales de entidades financieras argentinas bajo NIIF 9.</w:t>
      </w:r>
    </w:p>
    <w:p w14:paraId="08817A55" w14:textId="77777777" w:rsidR="00AB17A0" w:rsidRPr="009B27F6" w:rsidRDefault="00000000">
      <w:pPr>
        <w:pStyle w:val="Listaconvietas"/>
        <w:rPr>
          <w:lang w:val="es-ES"/>
        </w:rPr>
      </w:pPr>
      <w:r>
        <w:t xml:space="preserve">[IMPLEMENTADO] SICR cuantitativo basado en comparación de PD (pd_current/pd_origination &gt; 2.5x o Δpd &gt; 0.5pp), combinado con backstop DPD≥1. Pendiente: calibrar umbrales con datos de entidades financieras locales.</w:t>
      </w:r>
    </w:p>
    <w:p w14:paraId="6A3EBC95" w14:textId="77777777" w:rsidR="00AB17A0" w:rsidRPr="009B27F6" w:rsidRDefault="00000000">
      <w:pPr>
        <w:pStyle w:val="Listaconvietas"/>
        <w:rPr>
          <w:lang w:val="es-ES"/>
        </w:rPr>
      </w:pPr>
      <w:r>
        <w:rPr>
          <w:rFonts w:ascii="Times New Roman" w:hAnsi="Times New Roman"/>
          <w:lang w:val="es-ES"/>
        </w:rPr>
        <w:t>Aplicar la metodología a datos de entidades financieras argentinas bajo BCRA/NIIF 9.</w:t>
      </w:r>
    </w:p>
    <w:p>
      <w:pPr>
        <w:pStyle w:val="Listaconvietas"/>
      </w:pPr>
      <w:r>
        <w:t xml:space="preserve">[IMPLEMENTADO] Backtesting de la matriz de transición de stages (trimestral) y validación de la curva Lifetime PD contra defaults observados por vintage. Pendiente: backtesting en producción con datos de cartera real.</w:t>
      </w:r>
    </w:p>
    <w:p>
      <w:pPr>
        <w:pStyle w:val="Listaconvietas"/>
      </w:pPr>
      <w:r>
        <w:t>Extender el modelo para estimar LGD y EAD, completando el cálculo integral del ECL bajo el enfoque ponderado por escenarios macroeconómicos y posibilitando la comparación del ECL estimado contra provisiones históricas observadas.</w:t>
      </w:r>
    </w:p>
    <w:p>
      <w:pPr>
        <w:pStyle w:val="Listaconvietas"/>
      </w:pPr>
      <w:r>
        <w:t>Aplicar la metodología completa (incluyendo FLI, SICR cuantitativo y múltiples escenarios) a datos de entidades financieras argentinas bajo BCRA/NIIF 9, validando la replicabilidad de la arquitectura propuesta en carteras domésticas.</w:t>
      </w:r>
    </w:p>
    <w:p w14:paraId="344F7BBE" w14:textId="77777777" w:rsidR="00AB17A0" w:rsidRPr="009B27F6" w:rsidRDefault="00000000">
      <w:pPr>
        <w:rPr>
          <w:lang w:val="es-ES"/>
        </w:rPr>
      </w:pPr>
      <w:r>
        <w:rPr>
          <w:lang w:val="es-ES"/>
        </w:rPr>
        <w:br w:type="page"/>
      </w:r>
    </w:p>
    <w:p w14:paraId="684AFFC3" w14:textId="77777777" w:rsidR="00AB17A0" w:rsidRDefault="00000000">
      <w:pPr>
        <w:pStyle w:val="Ttulo1"/>
      </w:pPr>
      <w:r>
        <w:rPr>
          <w:rFonts w:ascii="Times New Roman" w:hAnsi="Times New Roman"/>
          <w:color w:val="000000"/>
        </w:rPr>
        <w:lastRenderedPageBreak/>
        <w:t>Bibliografía</w:t>
      </w:r>
    </w:p>
    <w:p w14:paraId="2042D095" w14:textId="77777777" w:rsidR="00AB17A0" w:rsidRDefault="00000000">
      <w:pPr>
        <w:pStyle w:val="Prrafodelista"/>
        <w:spacing w:after="80"/>
        <w:ind w:left="283" w:hanging="283"/>
      </w:pPr>
      <w:r>
        <w:rPr>
          <w:rFonts w:ascii="Times New Roman" w:hAnsi="Times New Roman"/>
          <w:sz w:val="20"/>
        </w:rPr>
        <w:t>[1] Basel Committee on Banking Supervision (2023). Principles for the Effective Management of Credit Risk.</w:t>
      </w:r>
    </w:p>
    <w:p w14:paraId="3E489775" w14:textId="77777777" w:rsidR="00AB17A0" w:rsidRDefault="00000000">
      <w:pPr>
        <w:pStyle w:val="Prrafodelista"/>
        <w:spacing w:after="80"/>
        <w:ind w:left="283" w:hanging="283"/>
      </w:pPr>
      <w:r>
        <w:rPr>
          <w:rFonts w:ascii="Times New Roman" w:hAnsi="Times New Roman"/>
          <w:sz w:val="20"/>
        </w:rPr>
        <w:t>[2] IFRS Foundation (2018). IFRS 9: Financial Instruments – Implementation Guidance.</w:t>
      </w:r>
    </w:p>
    <w:p w14:paraId="01E7273E" w14:textId="77777777" w:rsidR="00AB17A0" w:rsidRDefault="00000000">
      <w:pPr>
        <w:pStyle w:val="Prrafodelista"/>
        <w:spacing w:after="80"/>
        <w:ind w:left="283" w:hanging="283"/>
      </w:pPr>
      <w:r>
        <w:rPr>
          <w:rFonts w:ascii="Times New Roman" w:hAnsi="Times New Roman"/>
          <w:sz w:val="20"/>
        </w:rPr>
        <w:t>[3] European Banking Authority (2022). Guidelines on PD estimation, LGD, and treatment of defaulted exposures.</w:t>
      </w:r>
    </w:p>
    <w:p w14:paraId="1BD930CB" w14:textId="77777777" w:rsidR="00AB17A0" w:rsidRDefault="00000000">
      <w:pPr>
        <w:pStyle w:val="Prrafodelista"/>
        <w:spacing w:after="80"/>
        <w:ind w:left="283" w:hanging="283"/>
      </w:pPr>
      <w:r>
        <w:rPr>
          <w:rFonts w:ascii="Times New Roman" w:hAnsi="Times New Roman"/>
          <w:sz w:val="20"/>
        </w:rPr>
        <w:t>[4] Thomas, L., Edelman, D., &amp; Crook, J. (2017). Credit Scoring and Its Applications (2nd Ed.). SIAM.</w:t>
      </w:r>
    </w:p>
    <w:p w14:paraId="7631A939" w14:textId="77777777" w:rsidR="00AB17A0" w:rsidRDefault="00000000">
      <w:pPr>
        <w:pStyle w:val="Prrafodelista"/>
        <w:spacing w:after="80"/>
        <w:ind w:left="283" w:hanging="283"/>
      </w:pPr>
      <w:r>
        <w:rPr>
          <w:rFonts w:ascii="Times New Roman" w:hAnsi="Times New Roman"/>
          <w:sz w:val="20"/>
        </w:rPr>
        <w:t>[5] Lessmann, S., Baesens, B., Seow, H., &amp; Thomas, L. (2015). Benchmarking State-of-the-Art Classification Algorithms for Credit Scoring. EJOR.</w:t>
      </w:r>
    </w:p>
    <w:p w14:paraId="6A35D981" w14:textId="77777777" w:rsidR="00AB17A0" w:rsidRDefault="00000000">
      <w:pPr>
        <w:pStyle w:val="Prrafodelista"/>
        <w:spacing w:after="80"/>
        <w:ind w:left="283" w:hanging="283"/>
      </w:pPr>
      <w:r>
        <w:rPr>
          <w:rFonts w:ascii="Times New Roman" w:hAnsi="Times New Roman"/>
          <w:sz w:val="20"/>
        </w:rPr>
        <w:t>[6] European Central Bank (2021). Good Practices for Model Validation and Explainability in IFRS 9.</w:t>
      </w:r>
    </w:p>
    <w:p w14:paraId="2EE615FC" w14:textId="77777777" w:rsidR="00AB17A0" w:rsidRDefault="00000000">
      <w:pPr>
        <w:pStyle w:val="Prrafodelista"/>
        <w:spacing w:after="80"/>
        <w:ind w:left="283" w:hanging="283"/>
      </w:pPr>
      <w:r>
        <w:rPr>
          <w:rFonts w:ascii="Times New Roman" w:hAnsi="Times New Roman"/>
          <w:sz w:val="20"/>
        </w:rPr>
        <w:t>[7] Freddie Mac (2025). Single-Family Loan-Level Dataset User Guide. Release 44.</w:t>
      </w:r>
    </w:p>
    <w:p w14:paraId="4BE64282" w14:textId="77777777" w:rsidR="00AB17A0" w:rsidRDefault="00000000">
      <w:pPr>
        <w:pStyle w:val="Prrafodelista"/>
        <w:spacing w:after="80"/>
        <w:ind w:left="283" w:hanging="283"/>
      </w:pPr>
      <w:r>
        <w:rPr>
          <w:rFonts w:ascii="Times New Roman" w:hAnsi="Times New Roman"/>
          <w:sz w:val="20"/>
        </w:rPr>
        <w:t>[8] Breiman, L. (2001). Random Forests. Machine Learning, 45(1), 5–32.</w:t>
      </w:r>
    </w:p>
    <w:p w14:paraId="5B924686" w14:textId="77777777" w:rsidR="00AB17A0" w:rsidRDefault="00000000">
      <w:pPr>
        <w:pStyle w:val="Prrafodelista"/>
        <w:spacing w:after="80"/>
        <w:ind w:left="283" w:hanging="283"/>
      </w:pPr>
      <w:r>
        <w:rPr>
          <w:rFonts w:ascii="Times New Roman" w:hAnsi="Times New Roman"/>
          <w:sz w:val="20"/>
        </w:rPr>
        <w:t>[9] Chen, T., &amp; Guestrin, C. (2016). XGBoost: A Scalable Tree Boosting System. Proc. 22nd ACM SIGKDD.</w:t>
      </w:r>
    </w:p>
    <w:p w14:paraId="15A85F98" w14:textId="77777777" w:rsidR="00AB17A0" w:rsidRPr="009B27F6" w:rsidRDefault="00000000">
      <w:pPr>
        <w:pStyle w:val="Prrafodelista"/>
        <w:spacing w:after="80"/>
        <w:ind w:left="283" w:hanging="283"/>
        <w:rPr>
          <w:lang w:val="es-ES"/>
        </w:rPr>
      </w:pPr>
      <w:r>
        <w:rPr>
          <w:rFonts w:ascii="Times New Roman" w:hAnsi="Times New Roman"/>
          <w:sz w:val="20"/>
        </w:rPr>
        <w:t xml:space="preserve">[10] Ke, G., Meng, Q., et al. (2017). LightGBM: A Highly Efficient Gradient Boosting Decision Tree. </w:t>
      </w:r>
      <w:r>
        <w:rPr>
          <w:rFonts w:ascii="Times New Roman" w:hAnsi="Times New Roman"/>
          <w:sz w:val="20"/>
          <w:lang w:val="es-ES"/>
        </w:rPr>
        <w:t>NIPS.</w:t>
      </w:r>
    </w:p>
    <w:p w14:paraId="776806AF" w14:textId="77777777" w:rsidR="00AB17A0" w:rsidRPr="009B27F6" w:rsidRDefault="00000000">
      <w:pPr>
        <w:pStyle w:val="Prrafodelista"/>
        <w:spacing w:after="80"/>
        <w:ind w:left="283" w:hanging="283"/>
        <w:rPr>
          <w:lang w:val="es-ES"/>
        </w:rPr>
      </w:pPr>
      <w:r>
        <w:rPr>
          <w:rFonts w:ascii="Times New Roman" w:hAnsi="Times New Roman"/>
          <w:sz w:val="20"/>
          <w:lang w:val="es-ES"/>
        </w:rPr>
        <w:t>[12] Banco Central de la República Argentina (2024). Comunicación 'A' 6847: Previsiones Mínimas por Riesgo de Incobrabilidad – Normas NIIF.</w:t>
      </w:r>
    </w:p>
    <w:p w14:paraId="6CD557D0" w14:textId="77777777" w:rsidR="00AB17A0" w:rsidRPr="009B27F6" w:rsidRDefault="00000000">
      <w:pPr>
        <w:pStyle w:val="Prrafodelista"/>
        <w:spacing w:after="80"/>
        <w:ind w:left="283" w:hanging="283"/>
        <w:rPr>
          <w:lang w:val="es-ES"/>
        </w:rPr>
      </w:pPr>
      <w:r>
        <w:rPr>
          <w:rFonts w:ascii="Times New Roman" w:hAnsi="Times New Roman"/>
          <w:sz w:val="20"/>
          <w:lang w:val="es-ES"/>
        </w:rPr>
        <w:t>[13] Freire López, J. (2021). Modelo de Clasificación de Riesgo Crediticio Utilizando Random Forest. Tesis de Maestría, Universidad Internacional SEK.</w:t>
      </w:r>
    </w:p>
    <w:p w14:paraId="4F96CAA9" w14:textId="77777777" w:rsidR="00AB17A0" w:rsidRDefault="00000000">
      <w:pPr>
        <w:pStyle w:val="Prrafodelista"/>
        <w:spacing w:after="80"/>
        <w:ind w:left="283" w:hanging="283"/>
      </w:pPr>
      <w:r>
        <w:rPr>
          <w:rFonts w:ascii="Times New Roman" w:hAnsi="Times New Roman"/>
          <w:sz w:val="20"/>
          <w:lang w:val="es-ES"/>
        </w:rPr>
        <w:t xml:space="preserve">[14] Ghent, A. C., &amp; Kudlyak, M. (2011). </w:t>
      </w:r>
      <w:r>
        <w:rPr>
          <w:rFonts w:ascii="Times New Roman" w:hAnsi="Times New Roman"/>
          <w:sz w:val="20"/>
        </w:rPr>
        <w:t>Recourse and Residential Mortgage Default. Review of Financial Studies, 24(9), 3139–3186.</w:t>
      </w:r>
    </w:p>
    <w:p w14:paraId="66E99839" w14:textId="77777777" w:rsidR="00AB17A0" w:rsidRPr="009B27F6" w:rsidRDefault="00000000">
      <w:pPr>
        <w:pStyle w:val="Prrafodelista"/>
        <w:spacing w:after="80"/>
        <w:ind w:left="283" w:hanging="283"/>
        <w:rPr>
          <w:lang w:val="es-ES"/>
        </w:rPr>
      </w:pPr>
      <w:r>
        <w:rPr>
          <w:rFonts w:ascii="Times New Roman" w:hAnsi="Times New Roman"/>
          <w:sz w:val="20"/>
        </w:rPr>
        <w:t xml:space="preserve">[15] Elul, R., et al. (2010). What 'Triggers' Mortgage Default? </w:t>
      </w:r>
      <w:r>
        <w:rPr>
          <w:rFonts w:ascii="Times New Roman" w:hAnsi="Times New Roman"/>
          <w:sz w:val="20"/>
          <w:lang w:val="es-ES"/>
        </w:rPr>
        <w:t>AER, 100(2), 490–494.</w:t>
      </w:r>
    </w:p>
    <w:p w14:paraId="2A81B2F4" w14:textId="77777777" w:rsidR="00AB17A0" w:rsidRDefault="00000000">
      <w:pPr>
        <w:pStyle w:val="Prrafodelista"/>
        <w:spacing w:after="80"/>
        <w:ind w:left="283" w:hanging="283"/>
      </w:pPr>
      <w:r>
        <w:rPr>
          <w:rFonts w:ascii="Times New Roman" w:hAnsi="Times New Roman"/>
          <w:sz w:val="20"/>
          <w:lang w:val="es-ES"/>
        </w:rPr>
        <w:t xml:space="preserve">[16] Lundberg, S. M., &amp; Lee, S. I. (2017). </w:t>
      </w:r>
      <w:r>
        <w:rPr>
          <w:rFonts w:ascii="Times New Roman" w:hAnsi="Times New Roman"/>
          <w:sz w:val="20"/>
        </w:rPr>
        <w:t>A Unified Approach to Interpreting Model Predictions. NIPS.</w:t>
      </w:r>
    </w:p>
    <w:p w14:paraId="08D300F0" w14:textId="77777777" w:rsidR="00AB17A0" w:rsidRDefault="00000000">
      <w:pPr>
        <w:pStyle w:val="Prrafodelista"/>
        <w:spacing w:after="80"/>
        <w:ind w:left="283" w:hanging="283"/>
      </w:pPr>
      <w:r>
        <w:rPr>
          <w:rFonts w:ascii="Times New Roman" w:hAnsi="Times New Roman"/>
          <w:sz w:val="20"/>
        </w:rPr>
        <w:t>[17] Pluto, K., &amp; Tasche, D. (2006). Estimating Probabilities of Default for Low Default Portfolios. In B. Engelmann &amp; R. Rauhmeier (Eds.), The Basel II Risk Parameters. Springer.</w:t>
      </w:r>
    </w:p>
    <w:p>
      <w:pPr>
        <w:pStyle w:val="Prrafodelista"/>
      </w:pPr>
      <w:r>
        <w:t>[20] Basel Committee on Banking Supervision (2017). Guidance on credit risk and accounting for expected credit losses. BCBS d350. Bank for International Settlements.</w:t>
      </w:r>
    </w:p>
    <w:p>
      <w:pPr>
        <w:pStyle w:val="Prrafodelista"/>
      </w:pPr>
      <w:r>
        <w:t>[19] Promisel, M. (2024). fredapi: Python API for FRED. Version 0.5+. https://github.com/mortada/fredapi</w:t>
      </w:r>
    </w:p>
    <w:p>
      <w:pPr>
        <w:pStyle w:val="Prrafodelista"/>
      </w:pPr>
      <w:r>
        <w:t>[18] Federal Reserve Bank of St. Louis (2025). FRED Economic Data. Series: USSTHPI, UNRATE, FEDFUNDS, GDPC1, MORTGAGE30US. Accedido junio 2025. https://fred.stlouisfed.org</w:t>
      </w:r>
    </w:p>
    <w:sectPr w:rsidR="00AB17A0" w:rsidSect="00034616">
      <w:footerReference w:type="default" r:id="rId20"/>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4BB79" w14:textId="77777777" w:rsidR="00994E0D" w:rsidRDefault="00994E0D" w:rsidP="009B27F6">
      <w:pPr>
        <w:spacing w:after="0" w:line="240" w:lineRule="auto"/>
      </w:pPr>
      <w:r>
        <w:separator/>
      </w:r>
    </w:p>
  </w:endnote>
  <w:endnote w:type="continuationSeparator" w:id="0">
    <w:p w14:paraId="4032B67B" w14:textId="77777777" w:rsidR="00994E0D" w:rsidRDefault="00994E0D" w:rsidP="009B27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C0DAD" w14:textId="4A72F375" w:rsidR="00483CDF" w:rsidRPr="00483CDF" w:rsidRDefault="00483CDF" w:rsidP="00483CDF">
    <w:pPr>
      <w:pStyle w:val="Encabezado"/>
      <w:rPr>
        <w:lang w:val="es-ES"/>
      </w:rPr>
    </w:pPr>
    <w:r>
      <w:rPr>
        <w:noProof/>
      </w:rPr>
      <w:drawing>
        <wp:inline distT="0" distB="0" distL="0" distR="0" wp14:anchorId="3541A8DC" wp14:editId="32F7DA83">
          <wp:extent cx="2029460" cy="447675"/>
          <wp:effectExtent l="0" t="0" r="0" b="0"/>
          <wp:docPr id="2095933733" name="19 Imagen" descr="Nueva imag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9 Imagen" descr="Nueva imagen.png"/>
                  <pic:cNvPicPr>
                    <a:picLocks noChangeAspect="1" noChangeArrowheads="1"/>
                  </pic:cNvPicPr>
                </pic:nvPicPr>
                <pic:blipFill>
                  <a:blip r:embed="rId1"/>
                  <a:srcRect t="17085" b="17085"/>
                  <a:stretch>
                    <a:fillRect/>
                  </a:stretch>
                </pic:blipFill>
                <pic:spPr bwMode="auto">
                  <a:xfrm>
                    <a:off x="0" y="0"/>
                    <a:ext cx="2029460" cy="447675"/>
                  </a:xfrm>
                  <a:prstGeom prst="rect">
                    <a:avLst/>
                  </a:prstGeom>
                </pic:spPr>
              </pic:pic>
            </a:graphicData>
          </a:graphic>
        </wp:inline>
      </w:drawing>
    </w:r>
    <w:r>
      <w:rPr>
        <w:lang w:val="es-E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31FC9" w14:textId="77777777" w:rsidR="00994E0D" w:rsidRDefault="00994E0D" w:rsidP="009B27F6">
      <w:pPr>
        <w:spacing w:after="0" w:line="240" w:lineRule="auto"/>
      </w:pPr>
      <w:r>
        <w:separator/>
      </w:r>
    </w:p>
  </w:footnote>
  <w:footnote w:type="continuationSeparator" w:id="0">
    <w:p w14:paraId="1DA2E8B5" w14:textId="77777777" w:rsidR="00994E0D" w:rsidRDefault="00994E0D" w:rsidP="009B27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E004C38"/>
    <w:multiLevelType w:val="hybridMultilevel"/>
    <w:tmpl w:val="C2B67880"/>
    <w:lvl w:ilvl="0" w:tplc="2C0A000F">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num w:numId="1" w16cid:durableId="1229878932">
    <w:abstractNumId w:val="8"/>
  </w:num>
  <w:num w:numId="2" w16cid:durableId="2064675348">
    <w:abstractNumId w:val="6"/>
  </w:num>
  <w:num w:numId="3" w16cid:durableId="984164806">
    <w:abstractNumId w:val="5"/>
  </w:num>
  <w:num w:numId="4" w16cid:durableId="1595743447">
    <w:abstractNumId w:val="4"/>
  </w:num>
  <w:num w:numId="5" w16cid:durableId="1411729164">
    <w:abstractNumId w:val="7"/>
  </w:num>
  <w:num w:numId="6" w16cid:durableId="1052388724">
    <w:abstractNumId w:val="3"/>
  </w:num>
  <w:num w:numId="7" w16cid:durableId="2100522166">
    <w:abstractNumId w:val="2"/>
  </w:num>
  <w:num w:numId="8" w16cid:durableId="1829327508">
    <w:abstractNumId w:val="1"/>
  </w:num>
  <w:num w:numId="9" w16cid:durableId="1199199959">
    <w:abstractNumId w:val="0"/>
  </w:num>
  <w:num w:numId="10" w16cid:durableId="13474431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2A41"/>
    <w:rsid w:val="0029639D"/>
    <w:rsid w:val="00326F90"/>
    <w:rsid w:val="00351801"/>
    <w:rsid w:val="00483CDF"/>
    <w:rsid w:val="00870737"/>
    <w:rsid w:val="00994E0D"/>
    <w:rsid w:val="0099729D"/>
    <w:rsid w:val="009B27F6"/>
    <w:rsid w:val="00AA1D8D"/>
    <w:rsid w:val="00AB17A0"/>
    <w:rsid w:val="00B47730"/>
    <w:rsid w:val="00CB0664"/>
    <w:rsid w:val="00CD57DF"/>
    <w:rsid w:val="00F87D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DF5D28"/>
  <w14:defaultImageDpi w14:val="300"/>
  <w15:docId w15:val="{B7011529-9328-4CD1-9EED-6125BB5EC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as">
    <w:name w:val="figuras"/>
    <w:qFormat/>
    <w:rsid w:val="009B27F6"/>
    <w:pPr>
      <w:suppressAutoHyphens/>
      <w:spacing w:after="0" w:line="240" w:lineRule="auto"/>
      <w:jc w:val="center"/>
    </w:pPr>
    <w:rPr>
      <w:rFonts w:ascii="Times New Roman" w:eastAsia="Calibri" w:hAnsi="Times New Roman" w:cs="Arial"/>
      <w:sz w:val="24"/>
      <w:szCs w:val="20"/>
      <w:shd w:val="clear" w:color="auto" w:fill="FFFFFF"/>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24</Pages>
  <Words>4342</Words>
  <Characters>23887</Characters>
  <Application>Microsoft Office Word</Application>
  <DocSecurity>0</DocSecurity>
  <Lines>199</Lines>
  <Paragraphs>56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28173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Sebastian Meier</cp:lastModifiedBy>
  <cp:revision>4</cp:revision>
  <dcterms:created xsi:type="dcterms:W3CDTF">2013-12-23T23:15:00Z</dcterms:created>
  <dcterms:modified xsi:type="dcterms:W3CDTF">2026-04-12T19:55:00Z</dcterms:modified>
  <cp:category/>
</cp:coreProperties>
</file>