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730" w:type="dxa"/>
        <w:tblInd w:w="108" w:type="dxa"/>
        <w:tblLayout w:type="fixed"/>
        <w:tblLook w:val="04A0" w:firstRow="1" w:lastRow="0" w:firstColumn="1" w:lastColumn="0" w:noHBand="0" w:noVBand="1"/>
      </w:tblPr>
      <w:tblGrid>
        <w:gridCol w:w="3210"/>
        <w:gridCol w:w="5520"/>
      </w:tblGrid>
      <w:tr w:rsidR="00813946" w14:paraId="6E907C59" w14:textId="77777777">
        <w:trPr>
          <w:trHeight w:val="1430"/>
        </w:trPr>
        <w:tc>
          <w:tcPr>
            <w:tcW w:w="3210" w:type="dxa"/>
            <w:tcBorders>
              <w:top w:val="nil"/>
              <w:left w:val="nil"/>
              <w:bottom w:val="nil"/>
              <w:right w:val="nil"/>
            </w:tcBorders>
            <w:vAlign w:val="center"/>
          </w:tcPr>
          <w:p w14:paraId="5CBBF80E" w14:textId="77777777" w:rsidR="00813946" w:rsidRDefault="006B735B">
            <w:pPr>
              <w:pStyle w:val="figuras"/>
            </w:pPr>
            <w:r>
              <w:rPr>
                <w:noProof/>
              </w:rPr>
              <w:drawing>
                <wp:inline distT="0" distB="0" distL="0" distR="0" wp14:anchorId="1CE42DF6" wp14:editId="78C3FD3F">
                  <wp:extent cx="2029460" cy="447675"/>
                  <wp:effectExtent l="0" t="0" r="0" b="0"/>
                  <wp:docPr id="1" name="19 Imagen" descr="Nueva 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9 Imagen" descr="Nueva imagen.png"/>
                          <pic:cNvPicPr>
                            <a:picLocks noChangeAspect="1" noChangeArrowheads="1"/>
                          </pic:cNvPicPr>
                        </pic:nvPicPr>
                        <pic:blipFill>
                          <a:blip r:embed="rId6"/>
                          <a:srcRect t="17085" b="17085"/>
                          <a:stretch>
                            <a:fillRect/>
                          </a:stretch>
                        </pic:blipFill>
                        <pic:spPr bwMode="auto">
                          <a:xfrm>
                            <a:off x="0" y="0"/>
                            <a:ext cx="2029460" cy="447675"/>
                          </a:xfrm>
                          <a:prstGeom prst="rect">
                            <a:avLst/>
                          </a:prstGeom>
                        </pic:spPr>
                      </pic:pic>
                    </a:graphicData>
                  </a:graphic>
                </wp:inline>
              </w:drawing>
            </w:r>
          </w:p>
        </w:tc>
        <w:tc>
          <w:tcPr>
            <w:tcW w:w="5519" w:type="dxa"/>
            <w:tcBorders>
              <w:top w:val="nil"/>
              <w:left w:val="nil"/>
              <w:bottom w:val="nil"/>
              <w:right w:val="nil"/>
            </w:tcBorders>
            <w:vAlign w:val="center"/>
          </w:tcPr>
          <w:p w14:paraId="32282946" w14:textId="77777777" w:rsidR="00813946" w:rsidRDefault="00813946">
            <w:pPr>
              <w:spacing w:line="240" w:lineRule="auto"/>
              <w:jc w:val="left"/>
              <w:rPr>
                <w:b/>
              </w:rPr>
            </w:pPr>
          </w:p>
          <w:p w14:paraId="49C42364" w14:textId="77777777" w:rsidR="00813946" w:rsidRDefault="006B735B">
            <w:pPr>
              <w:ind w:left="288"/>
              <w:jc w:val="left"/>
              <w:rPr>
                <w:b/>
              </w:rPr>
            </w:pPr>
            <w:r>
              <w:rPr>
                <w:b/>
              </w:rPr>
              <w:t>UNIVERSIDAD TECNOLÓGICA NACIONAL</w:t>
            </w:r>
          </w:p>
          <w:p w14:paraId="048E9FAE" w14:textId="77777777" w:rsidR="00813946" w:rsidRDefault="006B735B">
            <w:pPr>
              <w:ind w:left="288"/>
              <w:jc w:val="left"/>
              <w:rPr>
                <w:b/>
              </w:rPr>
            </w:pPr>
            <w:r>
              <w:rPr>
                <w:b/>
              </w:rPr>
              <w:t>FACULTAD REGIONAL PARANÁ</w:t>
            </w:r>
          </w:p>
        </w:tc>
      </w:tr>
    </w:tbl>
    <w:p w14:paraId="37FF4DA1" w14:textId="77777777" w:rsidR="00813946" w:rsidRDefault="00813946">
      <w:pPr>
        <w:ind w:left="1416"/>
        <w:jc w:val="left"/>
        <w:rPr>
          <w:sz w:val="20"/>
        </w:rPr>
      </w:pPr>
    </w:p>
    <w:p w14:paraId="5851F786" w14:textId="77777777" w:rsidR="00813946" w:rsidRDefault="00813946">
      <w:pPr>
        <w:spacing w:before="40" w:line="240" w:lineRule="auto"/>
        <w:jc w:val="center"/>
      </w:pPr>
    </w:p>
    <w:p w14:paraId="5B91A7F2" w14:textId="77777777" w:rsidR="00813946" w:rsidRDefault="00813946">
      <w:pPr>
        <w:spacing w:before="40" w:line="240" w:lineRule="auto"/>
        <w:jc w:val="center"/>
      </w:pPr>
    </w:p>
    <w:p w14:paraId="7DE4C7B3" w14:textId="77777777" w:rsidR="00813946" w:rsidRDefault="00813946">
      <w:pPr>
        <w:spacing w:before="40" w:line="240" w:lineRule="auto"/>
        <w:jc w:val="center"/>
      </w:pPr>
    </w:p>
    <w:p w14:paraId="4CCE2798" w14:textId="77777777" w:rsidR="00813946" w:rsidRDefault="00813946">
      <w:pPr>
        <w:spacing w:before="40" w:line="240" w:lineRule="auto"/>
        <w:jc w:val="center"/>
      </w:pPr>
    </w:p>
    <w:p w14:paraId="1BD1DEF1" w14:textId="77777777" w:rsidR="00813946" w:rsidRDefault="006B735B">
      <w:pPr>
        <w:spacing w:before="40" w:line="240" w:lineRule="auto"/>
        <w:jc w:val="center"/>
      </w:pPr>
      <w:r>
        <w:t>PLAN DE TESIS</w:t>
      </w:r>
    </w:p>
    <w:p w14:paraId="5D628C88" w14:textId="77777777" w:rsidR="00813946" w:rsidRDefault="00813946">
      <w:pPr>
        <w:spacing w:before="40" w:line="240" w:lineRule="auto"/>
        <w:jc w:val="center"/>
      </w:pPr>
    </w:p>
    <w:p w14:paraId="28B6141A" w14:textId="77777777" w:rsidR="00813946" w:rsidRDefault="00813946">
      <w:pPr>
        <w:spacing w:before="40" w:line="240" w:lineRule="auto"/>
        <w:jc w:val="center"/>
        <w:rPr>
          <w:b/>
          <w:smallCaps/>
          <w:sz w:val="28"/>
          <w:szCs w:val="28"/>
        </w:rPr>
      </w:pPr>
    </w:p>
    <w:p w14:paraId="6C2DE2FD" w14:textId="20187584" w:rsidR="00813946" w:rsidRPr="004C2C61" w:rsidRDefault="005E3108">
      <w:pPr>
        <w:spacing w:before="40" w:line="240" w:lineRule="auto"/>
        <w:jc w:val="center"/>
        <w:rPr>
          <w:bCs/>
          <w:smallCaps/>
          <w:sz w:val="28"/>
          <w:szCs w:val="28"/>
          <w:lang w:val="es-ES"/>
        </w:rPr>
      </w:pPr>
      <w:bookmarkStart w:id="0" w:name="_Hlk216203536"/>
      <w:r w:rsidRPr="004C2C61">
        <w:rPr>
          <w:bCs/>
          <w:smallCaps/>
          <w:sz w:val="28"/>
          <w:szCs w:val="28"/>
        </w:rPr>
        <w:t>Predicción de la Probabilidad de Default bajo el marco regulatorio IFRS 9 utilizando técnicas de aprendizaje automático y datos crediticios abiertos de Freddie Mac</w:t>
      </w:r>
    </w:p>
    <w:bookmarkEnd w:id="0"/>
    <w:p w14:paraId="3769F0EF" w14:textId="77777777" w:rsidR="00813946" w:rsidRPr="005E3108" w:rsidRDefault="00813946">
      <w:pPr>
        <w:spacing w:before="40" w:line="240" w:lineRule="auto"/>
        <w:jc w:val="center"/>
        <w:rPr>
          <w:b/>
          <w:smallCaps/>
          <w:lang w:val="es-ES"/>
        </w:rPr>
      </w:pPr>
    </w:p>
    <w:p w14:paraId="764CBF63" w14:textId="314713BD" w:rsidR="00813946" w:rsidRDefault="006B735B">
      <w:pPr>
        <w:jc w:val="center"/>
      </w:pPr>
      <w:r>
        <w:t xml:space="preserve">Por: </w:t>
      </w:r>
      <w:r w:rsidR="005E3108">
        <w:t>Lic. Sebastián Emiliano Meier</w:t>
      </w:r>
    </w:p>
    <w:p w14:paraId="79572C80" w14:textId="77777777" w:rsidR="00813946" w:rsidRDefault="00813946">
      <w:pPr>
        <w:jc w:val="center"/>
      </w:pPr>
    </w:p>
    <w:p w14:paraId="20532E4D" w14:textId="77777777" w:rsidR="00813946" w:rsidRDefault="00813946">
      <w:pPr>
        <w:spacing w:line="240" w:lineRule="auto"/>
        <w:jc w:val="left"/>
        <w:rPr>
          <w:rFonts w:ascii="Arial" w:hAnsi="Arial"/>
          <w:color w:val="000000"/>
        </w:rPr>
      </w:pPr>
    </w:p>
    <w:p w14:paraId="322406EE" w14:textId="77777777" w:rsidR="00813946" w:rsidRDefault="00813946">
      <w:pPr>
        <w:spacing w:line="240" w:lineRule="auto"/>
        <w:jc w:val="left"/>
        <w:rPr>
          <w:rFonts w:ascii="Arial" w:hAnsi="Arial"/>
          <w:color w:val="000000"/>
        </w:rPr>
      </w:pPr>
    </w:p>
    <w:p w14:paraId="2B2AB2D3" w14:textId="77777777" w:rsidR="00813946" w:rsidRDefault="00813946">
      <w:pPr>
        <w:spacing w:line="240" w:lineRule="auto"/>
        <w:jc w:val="left"/>
        <w:rPr>
          <w:rFonts w:ascii="Arial" w:hAnsi="Arial"/>
          <w:color w:val="000000"/>
        </w:rPr>
      </w:pPr>
    </w:p>
    <w:p w14:paraId="201B24BE" w14:textId="77777777" w:rsidR="00813946" w:rsidRDefault="00813946">
      <w:pPr>
        <w:spacing w:line="240" w:lineRule="auto"/>
        <w:jc w:val="left"/>
        <w:rPr>
          <w:rFonts w:ascii="Arial" w:hAnsi="Arial"/>
          <w:color w:val="000000"/>
        </w:rPr>
      </w:pPr>
    </w:p>
    <w:p w14:paraId="4C5D4991" w14:textId="77777777" w:rsidR="00813946" w:rsidRDefault="00813946">
      <w:pPr>
        <w:spacing w:line="240" w:lineRule="auto"/>
        <w:jc w:val="left"/>
        <w:rPr>
          <w:rFonts w:ascii="Arial" w:hAnsi="Arial"/>
          <w:color w:val="000000"/>
        </w:rPr>
      </w:pPr>
    </w:p>
    <w:p w14:paraId="31DC1086" w14:textId="65707A7C" w:rsidR="00813946" w:rsidRDefault="006B735B">
      <w:pPr>
        <w:jc w:val="center"/>
        <w:rPr>
          <w:sz w:val="28"/>
          <w:szCs w:val="28"/>
        </w:rPr>
      </w:pPr>
      <w:r>
        <w:rPr>
          <w:sz w:val="28"/>
          <w:szCs w:val="28"/>
        </w:rPr>
        <w:t>MAESTRÍA EN MINER</w:t>
      </w:r>
      <w:r w:rsidR="00FE001D">
        <w:rPr>
          <w:sz w:val="28"/>
          <w:szCs w:val="28"/>
        </w:rPr>
        <w:t>Í</w:t>
      </w:r>
      <w:r>
        <w:rPr>
          <w:sz w:val="28"/>
          <w:szCs w:val="28"/>
        </w:rPr>
        <w:t>A DE DATOS</w:t>
      </w:r>
    </w:p>
    <w:p w14:paraId="6272BE24" w14:textId="77777777" w:rsidR="00813946" w:rsidRDefault="00813946">
      <w:pPr>
        <w:jc w:val="center"/>
        <w:rPr>
          <w:sz w:val="28"/>
          <w:szCs w:val="28"/>
        </w:rPr>
      </w:pPr>
    </w:p>
    <w:p w14:paraId="66F566A2" w14:textId="77777777" w:rsidR="00813946" w:rsidRDefault="00813946">
      <w:pPr>
        <w:jc w:val="center"/>
      </w:pPr>
    </w:p>
    <w:p w14:paraId="6F6F42D8" w14:textId="77777777" w:rsidR="00813946" w:rsidRDefault="00813946">
      <w:pPr>
        <w:jc w:val="center"/>
      </w:pPr>
    </w:p>
    <w:p w14:paraId="1A644B30" w14:textId="05C84363" w:rsidR="00813946" w:rsidRDefault="006B735B">
      <w:pPr>
        <w:jc w:val="center"/>
      </w:pPr>
      <w:r w:rsidRPr="00C91FA3">
        <w:t>Director/a:</w:t>
      </w:r>
      <w:r w:rsidR="004C1183" w:rsidRPr="00C91FA3">
        <w:t xml:space="preserve"> </w:t>
      </w:r>
      <w:proofErr w:type="spellStart"/>
      <w:r w:rsidR="002D203F" w:rsidRPr="00C91FA3">
        <w:t>Mag</w:t>
      </w:r>
      <w:proofErr w:type="spellEnd"/>
      <w:r w:rsidR="002D203F" w:rsidRPr="00C91FA3">
        <w:t>.</w:t>
      </w:r>
      <w:r w:rsidR="00635A0B">
        <w:t xml:space="preserve"> Ing.</w:t>
      </w:r>
      <w:r w:rsidR="002D203F" w:rsidRPr="00C91FA3">
        <w:t xml:space="preserve"> </w:t>
      </w:r>
      <w:r w:rsidR="004C1183" w:rsidRPr="00C91FA3">
        <w:t>Gustavo</w:t>
      </w:r>
      <w:r w:rsidR="004C1183">
        <w:t xml:space="preserve"> </w:t>
      </w:r>
      <w:bookmarkStart w:id="1" w:name="_Hlk216206547"/>
      <w:proofErr w:type="spellStart"/>
      <w:r w:rsidR="004C1183">
        <w:t>Denicolay</w:t>
      </w:r>
      <w:bookmarkEnd w:id="1"/>
      <w:proofErr w:type="spellEnd"/>
    </w:p>
    <w:p w14:paraId="14A52783" w14:textId="77777777" w:rsidR="00813946" w:rsidRDefault="00813946">
      <w:pPr>
        <w:jc w:val="center"/>
      </w:pPr>
    </w:p>
    <w:p w14:paraId="1EE99379" w14:textId="77777777" w:rsidR="00813946" w:rsidRDefault="00813946">
      <w:pPr>
        <w:jc w:val="center"/>
      </w:pPr>
    </w:p>
    <w:p w14:paraId="01CB5C5B" w14:textId="77777777" w:rsidR="00813946" w:rsidRDefault="00813946">
      <w:pPr>
        <w:jc w:val="center"/>
      </w:pPr>
    </w:p>
    <w:p w14:paraId="71A2C8E7" w14:textId="77777777" w:rsidR="00813946" w:rsidRDefault="00813946">
      <w:pPr>
        <w:jc w:val="center"/>
      </w:pPr>
    </w:p>
    <w:p w14:paraId="0D022874" w14:textId="77777777" w:rsidR="00813946" w:rsidRDefault="00813946">
      <w:pPr>
        <w:jc w:val="center"/>
      </w:pPr>
    </w:p>
    <w:p w14:paraId="26D6AF27" w14:textId="77777777" w:rsidR="00813946" w:rsidRDefault="006B735B">
      <w:pPr>
        <w:jc w:val="right"/>
      </w:pPr>
      <w:r>
        <w:t>Paraná, Argentina</w:t>
      </w:r>
    </w:p>
    <w:p w14:paraId="150A29D0" w14:textId="07C87DB5" w:rsidR="00813946" w:rsidRDefault="005E3108">
      <w:pPr>
        <w:jc w:val="right"/>
      </w:pPr>
      <w:r>
        <w:t>05</w:t>
      </w:r>
      <w:r w:rsidR="006B735B">
        <w:t>/</w:t>
      </w:r>
      <w:r>
        <w:t>11</w:t>
      </w:r>
      <w:r w:rsidR="006B735B">
        <w:t>/202</w:t>
      </w:r>
      <w:r>
        <w:t>5</w:t>
      </w:r>
    </w:p>
    <w:p w14:paraId="480EA314" w14:textId="77777777" w:rsidR="00813946" w:rsidRDefault="006B735B">
      <w:pPr>
        <w:spacing w:after="160" w:line="259" w:lineRule="auto"/>
        <w:jc w:val="left"/>
      </w:pPr>
      <w:r>
        <w:br w:type="page"/>
      </w:r>
    </w:p>
    <w:p w14:paraId="3187EB0E" w14:textId="4DE0D140" w:rsidR="0062571F" w:rsidRDefault="006B735B" w:rsidP="00EC618B">
      <w:pPr>
        <w:pStyle w:val="Ttulo1"/>
      </w:pPr>
      <w:bookmarkStart w:id="2" w:name="_Toc168252280"/>
      <w:r w:rsidRPr="00391178">
        <w:lastRenderedPageBreak/>
        <w:t>Fundamentación y justificación del tema</w:t>
      </w:r>
      <w:bookmarkStart w:id="3" w:name="_Toc168252281"/>
      <w:bookmarkEnd w:id="2"/>
    </w:p>
    <w:bookmarkEnd w:id="3"/>
    <w:p w14:paraId="1E899D9C" w14:textId="1EE6F237" w:rsidR="00F21D3D" w:rsidRDefault="00F21D3D" w:rsidP="00F21D3D">
      <w:pPr>
        <w:ind w:firstLine="360"/>
      </w:pPr>
      <w:r>
        <w:t xml:space="preserve">El riesgo de crédito constituye una de las principales fuentes de exposición en las entidades financieras y cooperativas de crédito. En la última década, la regulación contable internacional ha experimentado un cambio radical con la implementación de la Norma Internacional de Información Financiera IFRS 9, que introdujo el enfoque de </w:t>
      </w:r>
      <w:proofErr w:type="spellStart"/>
      <w:r>
        <w:t>Expected</w:t>
      </w:r>
      <w:proofErr w:type="spellEnd"/>
      <w:r>
        <w:t xml:space="preserve"> </w:t>
      </w:r>
      <w:proofErr w:type="spellStart"/>
      <w:r>
        <w:t>Credit</w:t>
      </w:r>
      <w:proofErr w:type="spellEnd"/>
      <w:r>
        <w:t xml:space="preserve"> </w:t>
      </w:r>
      <w:proofErr w:type="spellStart"/>
      <w:r>
        <w:t>Loss</w:t>
      </w:r>
      <w:proofErr w:type="spellEnd"/>
      <w:r>
        <w:t xml:space="preserve"> (ECL). Este modelo requiere que las instituciones estimen de forma prospectiva la Probabilidad de Default (PD), la Pérdida Dada el Default (LGD) y la Exposición al Default (EAD) para calcular las pérdidas esperadas de sus carteras [1].</w:t>
      </w:r>
    </w:p>
    <w:p w14:paraId="0A3A540A" w14:textId="2AEB45F1" w:rsidR="00F21D3D" w:rsidRDefault="00F21D3D" w:rsidP="00F21D3D">
      <w:pPr>
        <w:ind w:firstLine="360"/>
      </w:pPr>
      <w:r>
        <w:t>A diferencia del modelo contable anterior (IAS 39), IFRS 9 exige una aproximación forward-</w:t>
      </w:r>
      <w:proofErr w:type="spellStart"/>
      <w:r>
        <w:t>looking</w:t>
      </w:r>
      <w:proofErr w:type="spellEnd"/>
      <w:r>
        <w:t>, donde la pérdida crediticia esperada incorpora no solo información histórica, sino también condiciones macroeconómicas actuales y proyecciones futuras. Por ello, el desarrollo de modelos predictivos de PD es un aspecto central del cumplimiento normativo y de la gestión prudencial de riesgos [2].</w:t>
      </w:r>
    </w:p>
    <w:p w14:paraId="4CCCB3AA" w14:textId="7466E850" w:rsidR="00F21D3D" w:rsidRDefault="00F21D3D" w:rsidP="00F21D3D">
      <w:pPr>
        <w:ind w:firstLine="360"/>
      </w:pPr>
      <w:r>
        <w:t>En América Latina y particularmente en Argentina, el proceso de adopción de IFRS 9 se encuentra en expansión. El Banco Central de la República Argentina (BCRA) ha avanzado en la convergencia normativa hacia IFRS 9, especialmente para entidades financieras de mayor tamaño. Esto genera una necesidad creciente de profesionales con formación técnica sólida en modelización IFRS 9, capaces de construir y validar modelos cuantitativos de riesgo crediticio bajo estándares regulatorios internacionales.</w:t>
      </w:r>
    </w:p>
    <w:p w14:paraId="23E51E60" w14:textId="3E3E3AEA" w:rsidR="00F21D3D" w:rsidRDefault="00F21D3D" w:rsidP="00F21D3D">
      <w:pPr>
        <w:ind w:firstLine="360"/>
      </w:pPr>
      <w:r>
        <w:t xml:space="preserve">El desarrollo de esta tesis se enmarca en ese contexto: busca contribuir a la literatura aplicada y a la práctica profesional presentando una metodología reproducible para estimar la PD bajo IFRS 9 utilizando datos públicos abiertos. Dado que los datos bancarios reales están sujetos a confidencialidad, se utilizará el Freddie Mac </w:t>
      </w:r>
      <w:proofErr w:type="gramStart"/>
      <w:r>
        <w:t>Single</w:t>
      </w:r>
      <w:proofErr w:type="gramEnd"/>
      <w:r>
        <w:t>-</w:t>
      </w:r>
      <w:proofErr w:type="spellStart"/>
      <w:r>
        <w:t>Family</w:t>
      </w:r>
      <w:proofErr w:type="spellEnd"/>
      <w:r>
        <w:t xml:space="preserve"> Loan-</w:t>
      </w:r>
      <w:proofErr w:type="spellStart"/>
      <w:r>
        <w:t>Level</w:t>
      </w:r>
      <w:proofErr w:type="spellEnd"/>
      <w:r>
        <w:t xml:space="preserve"> </w:t>
      </w:r>
      <w:proofErr w:type="spellStart"/>
      <w:r>
        <w:t>Dataset</w:t>
      </w:r>
      <w:proofErr w:type="spellEnd"/>
      <w:r>
        <w:t xml:space="preserve">, el cual contiene millones de observaciones mensuales de créditos hipotecarios en </w:t>
      </w:r>
      <w:proofErr w:type="gramStart"/>
      <w:r>
        <w:t>EE.UU.</w:t>
      </w:r>
      <w:proofErr w:type="gramEnd"/>
      <w:r>
        <w:t xml:space="preserve">, permitiendo simular un entorno real de portafolio </w:t>
      </w:r>
      <w:proofErr w:type="spellStart"/>
      <w:r>
        <w:t>retail</w:t>
      </w:r>
      <w:proofErr w:type="spellEnd"/>
      <w:r>
        <w:t>.</w:t>
      </w:r>
    </w:p>
    <w:p w14:paraId="33004632" w14:textId="7C901338" w:rsidR="00F21D3D" w:rsidRDefault="00F21D3D" w:rsidP="00F21D3D">
      <w:pPr>
        <w:ind w:firstLine="360"/>
      </w:pPr>
      <w:r>
        <w:t xml:space="preserve">El uso de este </w:t>
      </w:r>
      <w:proofErr w:type="spellStart"/>
      <w:r>
        <w:t>dataset</w:t>
      </w:r>
      <w:proofErr w:type="spellEnd"/>
      <w:r>
        <w:t xml:space="preserve"> permitirá reproducir la estructura de información de una entidad financiera real, incluyendo variables de monto, tasa, LTV, DPD, score crediticio, fechas de pago, eventos de mora y pérdida. Con ello, se podrá desarrollar un modelo predictivo de PD que respete los principios metodológicos establecidos por el Comité de Supervisión Bancaria de Basilea [1] y las Guías de la EBA sobre estimación de parámetros IFRS 9 [3].</w:t>
      </w:r>
    </w:p>
    <w:p w14:paraId="00A15DEE" w14:textId="4ABE2B4D" w:rsidR="00813946" w:rsidRDefault="00F21D3D" w:rsidP="00F21D3D">
      <w:pPr>
        <w:ind w:firstLine="360"/>
      </w:pPr>
      <w:r>
        <w:t xml:space="preserve">En suma, la investigación se justifica tanto por su aporte técnico (replicar un proceso IFRS 9 completo con datos abiertos), como por su pertinencia local: apoyar la adopción de </w:t>
      </w:r>
      <w:r>
        <w:lastRenderedPageBreak/>
        <w:t>metodologías IFRS 9 en el ámbito financiero argentino y latinoamericano, donde las exigencias regulatorias y la digitalización bancaria hacen imprescindible contar con modelos transparentes, interpretables y auditables.</w:t>
      </w:r>
      <w:r w:rsidR="001A053C">
        <w:t xml:space="preserve"> </w:t>
      </w:r>
    </w:p>
    <w:p w14:paraId="0B781663" w14:textId="77777777" w:rsidR="00813946" w:rsidRPr="00747E20" w:rsidRDefault="006B735B" w:rsidP="00747E20">
      <w:pPr>
        <w:pStyle w:val="Ttulo1"/>
      </w:pPr>
      <w:bookmarkStart w:id="4" w:name="_Toc168252284"/>
      <w:r w:rsidRPr="00747E20">
        <w:t>Estado del arte</w:t>
      </w:r>
      <w:bookmarkEnd w:id="4"/>
    </w:p>
    <w:p w14:paraId="4F7D0DE6" w14:textId="77777777" w:rsidR="00162C86" w:rsidRPr="00162C86" w:rsidRDefault="00162C86" w:rsidP="00162C86">
      <w:pPr>
        <w:ind w:firstLine="360"/>
      </w:pPr>
      <w:r w:rsidRPr="00162C86">
        <w:t xml:space="preserve">El modelado de la Probabilidad de Default (PD) tiene una trayectoria extensa en la gestión del riesgo financiero. Tradicionalmente, las entidades bancarias han utilizado modelos de regresión logística [1] para estimar la probabilidad de incumplimiento, debido a su interpretabilidad, estabilidad y cumplimiento con los requerimientos de </w:t>
      </w:r>
      <w:proofErr w:type="spellStart"/>
      <w:r w:rsidRPr="00162C86">
        <w:t>explicabilidad</w:t>
      </w:r>
      <w:proofErr w:type="spellEnd"/>
      <w:r w:rsidRPr="00162C86">
        <w:t xml:space="preserve"> establecidos por los supervisores.</w:t>
      </w:r>
    </w:p>
    <w:p w14:paraId="0B8B0574" w14:textId="77777777" w:rsidR="00162C86" w:rsidRPr="00162C86" w:rsidRDefault="00162C86" w:rsidP="00162C86">
      <w:pPr>
        <w:ind w:firstLine="360"/>
      </w:pPr>
      <w:r w:rsidRPr="00162C86">
        <w:t xml:space="preserve">En el marco de Basilea II y III, las PD se calibraban a valores </w:t>
      </w:r>
      <w:proofErr w:type="spellStart"/>
      <w:r w:rsidRPr="00162C86">
        <w:t>Through-The-Cycle</w:t>
      </w:r>
      <w:proofErr w:type="spellEnd"/>
      <w:r w:rsidRPr="00162C86">
        <w:t xml:space="preserve"> (TTC), enfocados en la estabilidad a largo plazo. Sin embargo, IFRS 9 introduce un cambio clave: exige una PD Point-In-Time (PIT), sensible al ciclo económico y capaz de proyectarse a horizontes de 12 meses y a toda la vida del crédito (</w:t>
      </w:r>
      <w:proofErr w:type="spellStart"/>
      <w:r w:rsidRPr="00162C86">
        <w:t>Lifetime</w:t>
      </w:r>
      <w:proofErr w:type="spellEnd"/>
      <w:r w:rsidRPr="00162C86">
        <w:t xml:space="preserve"> PD). Este cambio metodológico ha impulsado una nueva generación de modelos, donde las técnicas de machine </w:t>
      </w:r>
      <w:proofErr w:type="spellStart"/>
      <w:r w:rsidRPr="00162C86">
        <w:t>learning</w:t>
      </w:r>
      <w:proofErr w:type="spellEnd"/>
      <w:r w:rsidRPr="00162C86">
        <w:t xml:space="preserve"> se incorporan para mejorar la capacidad predictiva y la segmentación del riesgo [4].</w:t>
      </w:r>
    </w:p>
    <w:p w14:paraId="6F5CDEE5" w14:textId="77777777" w:rsidR="00162C86" w:rsidRPr="00162C86" w:rsidRDefault="00162C86" w:rsidP="00162C86">
      <w:pPr>
        <w:ind w:firstLine="360"/>
      </w:pPr>
      <w:r w:rsidRPr="00162C86">
        <w:t xml:space="preserve">Entre los avances más relevantes se encuentran los modelos </w:t>
      </w:r>
      <w:proofErr w:type="spellStart"/>
      <w:r w:rsidRPr="00162C86">
        <w:t>Gradient</w:t>
      </w:r>
      <w:proofErr w:type="spellEnd"/>
      <w:r w:rsidRPr="00162C86">
        <w:t xml:space="preserve"> </w:t>
      </w:r>
      <w:proofErr w:type="spellStart"/>
      <w:r w:rsidRPr="00162C86">
        <w:t>Boosting</w:t>
      </w:r>
      <w:proofErr w:type="spellEnd"/>
      <w:r w:rsidRPr="00162C86">
        <w:t xml:space="preserve"> Machines (</w:t>
      </w:r>
      <w:proofErr w:type="spellStart"/>
      <w:r w:rsidRPr="00162C86">
        <w:t>XGBoost</w:t>
      </w:r>
      <w:proofErr w:type="spellEnd"/>
      <w:r w:rsidRPr="00162C86">
        <w:t xml:space="preserve"> [9], </w:t>
      </w:r>
      <w:proofErr w:type="spellStart"/>
      <w:r w:rsidRPr="00162C86">
        <w:t>LightGBM</w:t>
      </w:r>
      <w:proofErr w:type="spellEnd"/>
      <w:r w:rsidRPr="00162C86">
        <w:t xml:space="preserve"> [10]) [5], </w:t>
      </w:r>
      <w:proofErr w:type="spellStart"/>
      <w:r w:rsidRPr="00162C86">
        <w:t>Random</w:t>
      </w:r>
      <w:proofErr w:type="spellEnd"/>
      <w:r w:rsidRPr="00162C86">
        <w:t xml:space="preserve"> </w:t>
      </w:r>
      <w:proofErr w:type="spellStart"/>
      <w:r w:rsidRPr="00162C86">
        <w:t>Forests</w:t>
      </w:r>
      <w:proofErr w:type="spellEnd"/>
      <w:r w:rsidRPr="00162C86">
        <w:t xml:space="preserve"> [8], y enfoques basados en </w:t>
      </w:r>
      <w:proofErr w:type="spellStart"/>
      <w:r w:rsidRPr="00162C86">
        <w:t>ensembles</w:t>
      </w:r>
      <w:proofErr w:type="spellEnd"/>
      <w:r w:rsidRPr="00162C86">
        <w:t xml:space="preserve"> híbridos, los cuales han demostrado mayor capacidad para capturar no linealidades y efectos de interacción entre variables. No obstante, los organismos reguladores insisten en la necesidad de </w:t>
      </w:r>
      <w:proofErr w:type="spellStart"/>
      <w:r w:rsidRPr="00162C86">
        <w:t>explicabilidad</w:t>
      </w:r>
      <w:proofErr w:type="spellEnd"/>
      <w:r w:rsidRPr="00162C86">
        <w:t xml:space="preserve"> y gobernanza del modelo, motivo por el cual los modelos de caja negra deben complementarse con herramientas de interpretación como SHAP </w:t>
      </w:r>
      <w:proofErr w:type="spellStart"/>
      <w:r w:rsidRPr="00162C86">
        <w:t>values</w:t>
      </w:r>
      <w:proofErr w:type="spellEnd"/>
      <w:r w:rsidRPr="00162C86">
        <w:t xml:space="preserve"> [16] o LIME [6].</w:t>
      </w:r>
    </w:p>
    <w:p w14:paraId="58DFFA64" w14:textId="77777777" w:rsidR="00162C86" w:rsidRPr="00162C86" w:rsidRDefault="00162C86" w:rsidP="00162C86">
      <w:pPr>
        <w:ind w:firstLine="360"/>
      </w:pPr>
      <w:r w:rsidRPr="00162C86">
        <w:t xml:space="preserve">Estudios recientes han utilizado los </w:t>
      </w:r>
      <w:proofErr w:type="spellStart"/>
      <w:r w:rsidRPr="00162C86">
        <w:t>datasets</w:t>
      </w:r>
      <w:proofErr w:type="spellEnd"/>
      <w:r w:rsidRPr="00162C86">
        <w:t xml:space="preserve"> de Freddie Mac y Fannie Mae para modelar el riesgo hipotecario y estimar las tasas de incumplimiento bajo distintos contextos macroeconómicos (</w:t>
      </w:r>
      <w:proofErr w:type="spellStart"/>
      <w:r w:rsidRPr="00162C86">
        <w:t>Ghent</w:t>
      </w:r>
      <w:proofErr w:type="spellEnd"/>
      <w:r w:rsidRPr="00162C86">
        <w:t xml:space="preserve"> &amp; </w:t>
      </w:r>
      <w:proofErr w:type="spellStart"/>
      <w:r w:rsidRPr="00162C86">
        <w:t>Kudlyak</w:t>
      </w:r>
      <w:proofErr w:type="spellEnd"/>
      <w:r w:rsidRPr="00162C86">
        <w:t xml:space="preserve">, 2011 [14]; </w:t>
      </w:r>
      <w:proofErr w:type="spellStart"/>
      <w:r w:rsidRPr="00162C86">
        <w:t>Elul</w:t>
      </w:r>
      <w:proofErr w:type="spellEnd"/>
      <w:r w:rsidRPr="00162C86">
        <w:t>, 2018 [15]). Estas bases ofrecen granularidad mensual, datos de balance, morosidad y cancelación, lo que permite replicar un flujo IFRS 9 real [7].</w:t>
      </w:r>
    </w:p>
    <w:p w14:paraId="2395AA44" w14:textId="77777777" w:rsidR="00162C86" w:rsidRPr="00162C86" w:rsidRDefault="00162C86" w:rsidP="00162C86">
      <w:pPr>
        <w:ind w:firstLine="360"/>
      </w:pPr>
      <w:r w:rsidRPr="00162C86">
        <w:t xml:space="preserve">El modelado de riesgo ha evolucionado desde la regresión logística tradicional hacia métodos de ensamble. </w:t>
      </w:r>
      <w:proofErr w:type="spellStart"/>
      <w:r w:rsidRPr="00162C86">
        <w:t>Breiman</w:t>
      </w:r>
      <w:proofErr w:type="spellEnd"/>
      <w:r w:rsidRPr="00162C86">
        <w:t xml:space="preserve"> (2001) [8] introdujo </w:t>
      </w:r>
      <w:proofErr w:type="spellStart"/>
      <w:r w:rsidRPr="00162C86">
        <w:t>Random</w:t>
      </w:r>
      <w:proofErr w:type="spellEnd"/>
      <w:r w:rsidRPr="00162C86">
        <w:t xml:space="preserve"> </w:t>
      </w:r>
      <w:proofErr w:type="spellStart"/>
      <w:r w:rsidRPr="00162C86">
        <w:t>Forests</w:t>
      </w:r>
      <w:proofErr w:type="spellEnd"/>
      <w:r w:rsidRPr="00162C86">
        <w:t xml:space="preserve"> para reducir la varianza de los árboles de decisión, mientras que Chen &amp; </w:t>
      </w:r>
      <w:proofErr w:type="spellStart"/>
      <w:r w:rsidRPr="00162C86">
        <w:t>Guestrin</w:t>
      </w:r>
      <w:proofErr w:type="spellEnd"/>
      <w:r w:rsidRPr="00162C86">
        <w:t xml:space="preserve"> (2016) [9] popularizaron </w:t>
      </w:r>
      <w:proofErr w:type="spellStart"/>
      <w:r w:rsidRPr="00162C86">
        <w:t>XGBoost</w:t>
      </w:r>
      <w:proofErr w:type="spellEnd"/>
      <w:r w:rsidRPr="00162C86">
        <w:t>, permitiendo optimizar funciones de pérdida personalizadas, cruciales para clases desbalanceadas típicas en crédito (pocos defaults vs. muchos pagadores).</w:t>
      </w:r>
    </w:p>
    <w:p w14:paraId="3FB1C7AC" w14:textId="77777777" w:rsidR="00162C86" w:rsidRPr="00162C86" w:rsidRDefault="00162C86" w:rsidP="00162C86">
      <w:pPr>
        <w:ind w:firstLine="360"/>
      </w:pPr>
      <w:r w:rsidRPr="00162C86">
        <w:lastRenderedPageBreak/>
        <w:t xml:space="preserve">En el contexto regulatorio, la transición de IAS 39 a IFRS 9 (NIIF 9 en Argentina [12]) exige pasar de modelos de "Pérdida Incurrida" a "Pérdida Esperada" (ECL). Esto implica que la PD no debe ser solo </w:t>
      </w:r>
      <w:proofErr w:type="spellStart"/>
      <w:r w:rsidRPr="00162C86">
        <w:t>Through-the-Cycle</w:t>
      </w:r>
      <w:proofErr w:type="spellEnd"/>
      <w:r w:rsidRPr="00162C86">
        <w:t xml:space="preserve"> (promedio histórico), sino Point-in-Time (sensible al ciclo actual) y Forward-</w:t>
      </w:r>
      <w:proofErr w:type="spellStart"/>
      <w:r w:rsidRPr="00162C86">
        <w:t>Looking</w:t>
      </w:r>
      <w:proofErr w:type="spellEnd"/>
      <w:r w:rsidRPr="00162C86">
        <w:t xml:space="preserve"> (sensible al ciclo futuro). Investigaciones regionales recientes, como la de Freire López (2021) [13] en Ecuador, han comenzado a aplicar </w:t>
      </w:r>
      <w:proofErr w:type="spellStart"/>
      <w:r w:rsidRPr="00162C86">
        <w:t>Random</w:t>
      </w:r>
      <w:proofErr w:type="spellEnd"/>
      <w:r w:rsidRPr="00162C86">
        <w:t xml:space="preserve"> Forest en entornos financieros latinoamericanos, demostrando mejoras significativas en el índice de Gini frente a modelos paramétricos tradicionales.</w:t>
      </w:r>
    </w:p>
    <w:p w14:paraId="2245EA94" w14:textId="77777777" w:rsidR="00162C86" w:rsidRPr="00162C86" w:rsidRDefault="00162C86" w:rsidP="00162C86">
      <w:pPr>
        <w:ind w:firstLine="360"/>
      </w:pPr>
      <w:r w:rsidRPr="00162C86">
        <w:t xml:space="preserve">El presente trabajo se diferencia de los anteriores al combinar un enfoque regulatorio IFRS 9 con una implementación de machine </w:t>
      </w:r>
      <w:proofErr w:type="spellStart"/>
      <w:r w:rsidRPr="00162C86">
        <w:t>learning</w:t>
      </w:r>
      <w:proofErr w:type="spellEnd"/>
      <w:r w:rsidRPr="00162C86">
        <w:t xml:space="preserve"> reproducible y explicable, documentando cada etapa del proceso: definición del default, cálculo de DPD, análisis de vintage, modelización PIT y calibración </w:t>
      </w:r>
      <w:proofErr w:type="spellStart"/>
      <w:r w:rsidRPr="00162C86">
        <w:t>Lifetime</w:t>
      </w:r>
      <w:proofErr w:type="spellEnd"/>
      <w:r w:rsidRPr="00162C86">
        <w:t xml:space="preserve"> PD. Esta aproximación aporta valor académico y práctico, ya que acerca la teoría regulatoria a la implementación computacional en entornos reales.</w:t>
      </w:r>
    </w:p>
    <w:p w14:paraId="53D40BEC" w14:textId="26B67381" w:rsidR="00F62D70" w:rsidRPr="00747E20" w:rsidRDefault="006B735B" w:rsidP="00747E20">
      <w:pPr>
        <w:pStyle w:val="Ttulo1"/>
      </w:pPr>
      <w:bookmarkStart w:id="5" w:name="_Toc168252287"/>
      <w:r w:rsidRPr="00747E20">
        <w:t>Objetivos</w:t>
      </w:r>
      <w:bookmarkEnd w:id="5"/>
    </w:p>
    <w:p w14:paraId="7D6A76CE" w14:textId="64CCD6DD" w:rsidR="00844357" w:rsidRPr="00F62D70" w:rsidRDefault="008A2D08" w:rsidP="008A2D08">
      <w:pPr>
        <w:pStyle w:val="Ttulo2"/>
      </w:pPr>
      <w:r>
        <w:t>3.1 Objetivo g</w:t>
      </w:r>
      <w:r w:rsidR="00844357">
        <w:t>eneral</w:t>
      </w:r>
    </w:p>
    <w:p w14:paraId="55100220" w14:textId="3EAF818A" w:rsidR="004F35AB" w:rsidRPr="0062085B" w:rsidRDefault="005E3108">
      <w:pPr>
        <w:pStyle w:val="Prrafodelista"/>
        <w:numPr>
          <w:ilvl w:val="0"/>
          <w:numId w:val="2"/>
        </w:numPr>
        <w:rPr>
          <w:color w:val="000000" w:themeColor="text1"/>
        </w:rPr>
      </w:pPr>
      <w:r w:rsidRPr="005E3108">
        <w:rPr>
          <w:color w:val="000000" w:themeColor="text1"/>
        </w:rPr>
        <w:t>Desarrollar un modelo predictivo de Probabilidad de Default (PD) conforme a la normativa IFRS 9, utilizando técnicas de aprendizaje automático aplicadas a datos crediticios públicos de Freddie Mac.</w:t>
      </w:r>
    </w:p>
    <w:p w14:paraId="006DCC15" w14:textId="51686FAF" w:rsidR="008A2D08" w:rsidRDefault="008A2D08" w:rsidP="0062085B">
      <w:pPr>
        <w:pStyle w:val="Ttulo2"/>
      </w:pPr>
      <w:r>
        <w:t>3.2 Objetivos Específicos</w:t>
      </w:r>
    </w:p>
    <w:p w14:paraId="1ED0F13C" w14:textId="77777777" w:rsidR="004C2C61" w:rsidRDefault="004C2C61" w:rsidP="004C2C61">
      <w:pPr>
        <w:pStyle w:val="Prrafodelista"/>
        <w:numPr>
          <w:ilvl w:val="0"/>
          <w:numId w:val="2"/>
        </w:numPr>
      </w:pPr>
      <w:r>
        <w:t xml:space="preserve">Analizar y caracterizar la cartera crediticia del </w:t>
      </w:r>
      <w:proofErr w:type="spellStart"/>
      <w:r>
        <w:t>dataset</w:t>
      </w:r>
      <w:proofErr w:type="spellEnd"/>
      <w:r>
        <w:t xml:space="preserve"> Freddie Mac mediante EDA.</w:t>
      </w:r>
    </w:p>
    <w:p w14:paraId="6FFBF549" w14:textId="77777777" w:rsidR="004C2C61" w:rsidRDefault="004C2C61" w:rsidP="004C2C61">
      <w:pPr>
        <w:pStyle w:val="Prrafodelista"/>
        <w:numPr>
          <w:ilvl w:val="0"/>
          <w:numId w:val="2"/>
        </w:numPr>
      </w:pPr>
      <w:r>
        <w:t xml:space="preserve">Definir la variable de default IFRS 9 (90+ DPD o pérdida) y calcular las transiciones </w:t>
      </w:r>
      <w:proofErr w:type="spellStart"/>
      <w:r>
        <w:t>Stage</w:t>
      </w:r>
      <w:proofErr w:type="spellEnd"/>
      <w:r>
        <w:t xml:space="preserve"> 1–2–3.</w:t>
      </w:r>
    </w:p>
    <w:p w14:paraId="39AB34EC" w14:textId="77777777" w:rsidR="004C2C61" w:rsidRDefault="004C2C61" w:rsidP="004C2C61">
      <w:pPr>
        <w:pStyle w:val="Prrafodelista"/>
        <w:numPr>
          <w:ilvl w:val="0"/>
          <w:numId w:val="2"/>
        </w:numPr>
      </w:pPr>
      <w:r>
        <w:t xml:space="preserve">Construir un </w:t>
      </w:r>
      <w:proofErr w:type="spellStart"/>
      <w:r>
        <w:t>dataset</w:t>
      </w:r>
      <w:proofErr w:type="spellEnd"/>
      <w:r>
        <w:t xml:space="preserve"> analítico con granularidad mensual, integrando variables de </w:t>
      </w:r>
      <w:proofErr w:type="spellStart"/>
      <w:r>
        <w:t>originación</w:t>
      </w:r>
      <w:proofErr w:type="spellEnd"/>
      <w:r>
        <w:t xml:space="preserve"> y comportamiento.</w:t>
      </w:r>
    </w:p>
    <w:p w14:paraId="1DF6B8B0" w14:textId="4AD2ABB0" w:rsidR="004C2C61" w:rsidRDefault="004C2C61" w:rsidP="004C2C61">
      <w:pPr>
        <w:pStyle w:val="Prrafodelista"/>
        <w:numPr>
          <w:ilvl w:val="0"/>
          <w:numId w:val="2"/>
        </w:numPr>
      </w:pPr>
      <w:r>
        <w:t xml:space="preserve">Entrenar y comparar modelos de PD: Regresión Logística [1], </w:t>
      </w:r>
      <w:proofErr w:type="spellStart"/>
      <w:r w:rsidR="00162C86">
        <w:t>XGBoost</w:t>
      </w:r>
      <w:proofErr w:type="spellEnd"/>
      <w:r>
        <w:t xml:space="preserve"> [5] y </w:t>
      </w:r>
      <w:proofErr w:type="spellStart"/>
      <w:r>
        <w:t>Random</w:t>
      </w:r>
      <w:proofErr w:type="spellEnd"/>
      <w:r>
        <w:t xml:space="preserve"> Forest.</w:t>
      </w:r>
    </w:p>
    <w:p w14:paraId="3ADFC579" w14:textId="77777777" w:rsidR="004C2C61" w:rsidRDefault="004C2C61" w:rsidP="004C2C61">
      <w:pPr>
        <w:pStyle w:val="Prrafodelista"/>
        <w:numPr>
          <w:ilvl w:val="0"/>
          <w:numId w:val="2"/>
        </w:numPr>
      </w:pPr>
      <w:r>
        <w:t xml:space="preserve">Calibrar el modelo PIT y generar una curva </w:t>
      </w:r>
      <w:proofErr w:type="spellStart"/>
      <w:r>
        <w:t>Lifetime</w:t>
      </w:r>
      <w:proofErr w:type="spellEnd"/>
      <w:r>
        <w:t xml:space="preserve"> PD conforme a la metodología IFRS 9 [3].</w:t>
      </w:r>
    </w:p>
    <w:p w14:paraId="7586DA29" w14:textId="52B17573" w:rsidR="004C2C61" w:rsidRDefault="004C2C61" w:rsidP="004C2C61">
      <w:pPr>
        <w:pStyle w:val="Prrafodelista"/>
        <w:numPr>
          <w:ilvl w:val="0"/>
          <w:numId w:val="2"/>
        </w:numPr>
      </w:pPr>
      <w:r>
        <w:t>Validar el modelo mediante métricas regulatorias (AUC</w:t>
      </w:r>
      <w:r w:rsidR="00162C86">
        <w:t>/Gini</w:t>
      </w:r>
      <w:r>
        <w:t xml:space="preserve">, KS, PSI, </w:t>
      </w:r>
      <w:proofErr w:type="spellStart"/>
      <w:r>
        <w:t>Brier</w:t>
      </w:r>
      <w:proofErr w:type="spellEnd"/>
      <w:r>
        <w:t xml:space="preserve"> Score).</w:t>
      </w:r>
    </w:p>
    <w:p w14:paraId="1574EC63" w14:textId="43C6724C" w:rsidR="004C2C61" w:rsidRDefault="004C2C61" w:rsidP="004C2C61">
      <w:pPr>
        <w:pStyle w:val="Prrafodelista"/>
        <w:numPr>
          <w:ilvl w:val="0"/>
          <w:numId w:val="2"/>
        </w:numPr>
      </w:pPr>
      <w:r>
        <w:t xml:space="preserve">Evaluar la </w:t>
      </w:r>
      <w:proofErr w:type="spellStart"/>
      <w:r>
        <w:t>explicabilidad</w:t>
      </w:r>
      <w:proofErr w:type="spellEnd"/>
      <w:r>
        <w:t xml:space="preserve"> y gobernanza del modelo conforme a las guías IFRS 9 [3][6].</w:t>
      </w:r>
    </w:p>
    <w:p w14:paraId="36BEEEF0" w14:textId="4C3BE16A" w:rsidR="007A2FBA" w:rsidRDefault="006B735B" w:rsidP="007A2FBA">
      <w:pPr>
        <w:pStyle w:val="Ttulo1"/>
      </w:pPr>
      <w:bookmarkStart w:id="6" w:name="_Toc168252288"/>
      <w:r w:rsidRPr="00747E20">
        <w:lastRenderedPageBreak/>
        <w:t>Actividades y metodologías</w:t>
      </w:r>
      <w:bookmarkEnd w:id="6"/>
    </w:p>
    <w:p w14:paraId="74C04D2D" w14:textId="0DBD6B02" w:rsidR="00813946" w:rsidRDefault="007D3960">
      <w:pPr>
        <w:pStyle w:val="Prrafodelista"/>
        <w:numPr>
          <w:ilvl w:val="0"/>
          <w:numId w:val="3"/>
        </w:numPr>
      </w:pPr>
      <w:r>
        <w:t>Recolección</w:t>
      </w:r>
      <w:r w:rsidR="0045105F">
        <w:t xml:space="preserve"> de los datos</w:t>
      </w:r>
    </w:p>
    <w:p w14:paraId="2E177ED2" w14:textId="6D652BE8" w:rsidR="00D84E12" w:rsidRDefault="00D84E12" w:rsidP="00D84E12">
      <w:pPr>
        <w:ind w:left="708"/>
      </w:pPr>
      <w:r>
        <w:t xml:space="preserve">Se empleará el </w:t>
      </w:r>
      <w:proofErr w:type="spellStart"/>
      <w:r>
        <w:t>dataset</w:t>
      </w:r>
      <w:proofErr w:type="spellEnd"/>
      <w:r>
        <w:t xml:space="preserve"> Freddie Mac </w:t>
      </w:r>
      <w:proofErr w:type="gramStart"/>
      <w:r>
        <w:t>Single</w:t>
      </w:r>
      <w:proofErr w:type="gramEnd"/>
      <w:r>
        <w:t>-</w:t>
      </w:r>
      <w:proofErr w:type="spellStart"/>
      <w:r>
        <w:t>Family</w:t>
      </w:r>
      <w:proofErr w:type="spellEnd"/>
      <w:r>
        <w:t xml:space="preserve"> Loan-</w:t>
      </w:r>
      <w:proofErr w:type="spellStart"/>
      <w:r>
        <w:t>Level</w:t>
      </w:r>
      <w:proofErr w:type="spellEnd"/>
      <w:r>
        <w:t>, disponible públicamente en su portal</w:t>
      </w:r>
      <w:r w:rsidR="00BE3EAB">
        <w:t xml:space="preserve"> utilizando el lenguaje R y/o Python</w:t>
      </w:r>
      <w:r>
        <w:t>.</w:t>
      </w:r>
    </w:p>
    <w:p w14:paraId="180644B7" w14:textId="32380E7F" w:rsidR="00D84E12" w:rsidRDefault="00D84E12" w:rsidP="00D84E12">
      <w:pPr>
        <w:ind w:left="708"/>
      </w:pPr>
      <w:r>
        <w:t xml:space="preserve">El </w:t>
      </w:r>
      <w:proofErr w:type="spellStart"/>
      <w:r>
        <w:t>dataset</w:t>
      </w:r>
      <w:proofErr w:type="spellEnd"/>
      <w:r>
        <w:t xml:space="preserve"> contiene dos archivos principales por año:</w:t>
      </w:r>
    </w:p>
    <w:p w14:paraId="4386E770" w14:textId="77777777" w:rsidR="00D84E12" w:rsidRDefault="00D84E12" w:rsidP="00D84E12">
      <w:pPr>
        <w:pStyle w:val="Prrafodelista"/>
        <w:numPr>
          <w:ilvl w:val="0"/>
          <w:numId w:val="10"/>
        </w:numPr>
      </w:pPr>
      <w:r>
        <w:t xml:space="preserve">sample_orig_YEAR.txt: características de </w:t>
      </w:r>
      <w:proofErr w:type="spellStart"/>
      <w:r>
        <w:t>originación</w:t>
      </w:r>
      <w:proofErr w:type="spellEnd"/>
      <w:r>
        <w:t xml:space="preserve"> del crédito.</w:t>
      </w:r>
    </w:p>
    <w:p w14:paraId="05D73C1C" w14:textId="2B90F355" w:rsidR="00D84E12" w:rsidRDefault="00D84E12" w:rsidP="00D84E12">
      <w:pPr>
        <w:pStyle w:val="Prrafodelista"/>
        <w:numPr>
          <w:ilvl w:val="0"/>
          <w:numId w:val="10"/>
        </w:numPr>
      </w:pPr>
      <w:r>
        <w:t xml:space="preserve">sample_svcg_YEAR.txt: datos de </w:t>
      </w:r>
      <w:proofErr w:type="spellStart"/>
      <w:r>
        <w:t>servicing</w:t>
      </w:r>
      <w:proofErr w:type="spellEnd"/>
      <w:r>
        <w:t xml:space="preserve"> mensuales (pagos, atrasos, saldos, códigos de cancelación).</w:t>
      </w:r>
    </w:p>
    <w:p w14:paraId="1A2B27D2" w14:textId="2D29A8A8" w:rsidR="00D84E12" w:rsidRDefault="00D84E12" w:rsidP="00D84E12">
      <w:pPr>
        <w:ind w:left="708"/>
      </w:pPr>
      <w:r>
        <w:t>Abarca más de 15 millones de registros con granularidad mensual, desde 2016 hasta 2024, con variables de balance, días en mora, códigos de pérdida, fecha de pago y de default.</w:t>
      </w:r>
    </w:p>
    <w:p w14:paraId="73DC982B" w14:textId="1B9389F6" w:rsidR="00813946" w:rsidRDefault="00C57A1A">
      <w:pPr>
        <w:pStyle w:val="Prrafodelista"/>
        <w:numPr>
          <w:ilvl w:val="0"/>
          <w:numId w:val="3"/>
        </w:numPr>
      </w:pPr>
      <w:r>
        <w:t xml:space="preserve">Almacenamiento </w:t>
      </w:r>
      <w:r w:rsidR="000218EF">
        <w:t xml:space="preserve">y preparación </w:t>
      </w:r>
      <w:r>
        <w:t>de los datos</w:t>
      </w:r>
    </w:p>
    <w:p w14:paraId="0A0BB84E" w14:textId="34235C57" w:rsidR="00D84E12" w:rsidRDefault="00D84E12" w:rsidP="00D84E12">
      <w:pPr>
        <w:pStyle w:val="Prrafodelista"/>
      </w:pPr>
      <w:r>
        <w:t xml:space="preserve">Los archivos se integrarán en un entorno R / </w:t>
      </w:r>
      <w:r w:rsidR="00F334C7">
        <w:t>Python</w:t>
      </w:r>
      <w:r>
        <w:t>, aplicando:</w:t>
      </w:r>
    </w:p>
    <w:p w14:paraId="1C7566FF" w14:textId="5D470EB2" w:rsidR="00D84E12" w:rsidRDefault="00D84E12" w:rsidP="00D84E12">
      <w:pPr>
        <w:pStyle w:val="Prrafodelista"/>
        <w:numPr>
          <w:ilvl w:val="0"/>
          <w:numId w:val="11"/>
        </w:numPr>
      </w:pPr>
      <w:r>
        <w:t xml:space="preserve">Normalización y </w:t>
      </w:r>
      <w:proofErr w:type="spellStart"/>
      <w:r>
        <w:t>join</w:t>
      </w:r>
      <w:proofErr w:type="spellEnd"/>
      <w:r>
        <w:t xml:space="preserve"> por </w:t>
      </w:r>
      <w:proofErr w:type="spellStart"/>
      <w:r>
        <w:t>loan_sequence_number</w:t>
      </w:r>
      <w:proofErr w:type="spellEnd"/>
      <w:r>
        <w:t>.</w:t>
      </w:r>
    </w:p>
    <w:p w14:paraId="2ADB35CB" w14:textId="20554741" w:rsidR="00D84E12" w:rsidRDefault="00D84E12" w:rsidP="00D84E12">
      <w:pPr>
        <w:pStyle w:val="Prrafodelista"/>
        <w:numPr>
          <w:ilvl w:val="0"/>
          <w:numId w:val="11"/>
        </w:numPr>
      </w:pPr>
      <w:r>
        <w:t>Conversión de fechas.</w:t>
      </w:r>
    </w:p>
    <w:p w14:paraId="6B79CFA1" w14:textId="40FB876C" w:rsidR="00D84E12" w:rsidRDefault="00D84E12" w:rsidP="00D84E12">
      <w:pPr>
        <w:pStyle w:val="Prrafodelista"/>
        <w:numPr>
          <w:ilvl w:val="0"/>
          <w:numId w:val="11"/>
        </w:numPr>
      </w:pPr>
      <w:r>
        <w:t xml:space="preserve">Generación de </w:t>
      </w:r>
      <w:proofErr w:type="spellStart"/>
      <w:r>
        <w:t>flags</w:t>
      </w:r>
      <w:proofErr w:type="spellEnd"/>
      <w:r>
        <w:t xml:space="preserve">: Default, </w:t>
      </w:r>
      <w:proofErr w:type="spellStart"/>
      <w:r>
        <w:t>Prepayment</w:t>
      </w:r>
      <w:proofErr w:type="spellEnd"/>
      <w:r>
        <w:t>, Active.</w:t>
      </w:r>
    </w:p>
    <w:p w14:paraId="70C6A3C0" w14:textId="3B1F4CCC" w:rsidR="00813946" w:rsidRPr="00D84E12" w:rsidRDefault="00D84E12" w:rsidP="00D84E12">
      <w:pPr>
        <w:pStyle w:val="Prrafodelista"/>
        <w:numPr>
          <w:ilvl w:val="0"/>
          <w:numId w:val="11"/>
        </w:numPr>
        <w:rPr>
          <w:lang w:val="en-US"/>
        </w:rPr>
      </w:pPr>
      <w:proofErr w:type="spellStart"/>
      <w:r w:rsidRPr="00D84E12">
        <w:rPr>
          <w:lang w:val="en-US"/>
        </w:rPr>
        <w:t>Cálculo</w:t>
      </w:r>
      <w:proofErr w:type="spellEnd"/>
      <w:r w:rsidRPr="00D84E12">
        <w:rPr>
          <w:lang w:val="en-US"/>
        </w:rPr>
        <w:t xml:space="preserve"> de </w:t>
      </w:r>
      <w:proofErr w:type="spellStart"/>
      <w:r w:rsidRPr="00D84E12">
        <w:rPr>
          <w:lang w:val="en-US"/>
        </w:rPr>
        <w:t>métricas</w:t>
      </w:r>
      <w:proofErr w:type="spellEnd"/>
      <w:r w:rsidRPr="00D84E12">
        <w:rPr>
          <w:lang w:val="en-US"/>
        </w:rPr>
        <w:t xml:space="preserve"> IFRS 9: Days Past Due (DPD), Arrears, EAD.</w:t>
      </w:r>
    </w:p>
    <w:p w14:paraId="235725C1" w14:textId="21D0A389" w:rsidR="00136CF5" w:rsidRDefault="00136CF5">
      <w:pPr>
        <w:pStyle w:val="Prrafodelista"/>
        <w:numPr>
          <w:ilvl w:val="0"/>
          <w:numId w:val="3"/>
        </w:numPr>
      </w:pPr>
      <w:r>
        <w:t xml:space="preserve">Creación del </w:t>
      </w:r>
      <w:proofErr w:type="spellStart"/>
      <w:r w:rsidR="00F45B65">
        <w:t>D</w:t>
      </w:r>
      <w:r>
        <w:t>ataset</w:t>
      </w:r>
      <w:proofErr w:type="spellEnd"/>
    </w:p>
    <w:p w14:paraId="1AEF526A" w14:textId="47DCBC05" w:rsidR="00D84E12" w:rsidRDefault="00DA3C83" w:rsidP="00DA3C83">
      <w:pPr>
        <w:pStyle w:val="Prrafodelista"/>
      </w:pPr>
      <w:r>
        <w:t xml:space="preserve">Utilizando los datos almacenados en la base de datos, crearé el </w:t>
      </w:r>
      <w:proofErr w:type="spellStart"/>
      <w:r>
        <w:t>dataset</w:t>
      </w:r>
      <w:proofErr w:type="spellEnd"/>
      <w:r>
        <w:t xml:space="preserve"> principal de trabajo a ser utilizado en el posterior análisis exploratorio y modelado. En el </w:t>
      </w:r>
      <w:proofErr w:type="spellStart"/>
      <w:r>
        <w:t>dataset</w:t>
      </w:r>
      <w:proofErr w:type="spellEnd"/>
      <w:r>
        <w:t xml:space="preserve"> se identificarán las diferentes variables y la clase a predecir.</w:t>
      </w:r>
    </w:p>
    <w:p w14:paraId="109D4F75" w14:textId="30EFA94E" w:rsidR="00813946" w:rsidRDefault="006B735B">
      <w:pPr>
        <w:pStyle w:val="Prrafodelista"/>
        <w:numPr>
          <w:ilvl w:val="0"/>
          <w:numId w:val="3"/>
        </w:numPr>
      </w:pPr>
      <w:r>
        <w:t xml:space="preserve">Análisis </w:t>
      </w:r>
      <w:r w:rsidR="002F02EB">
        <w:t>E</w:t>
      </w:r>
      <w:r>
        <w:t>xploratorio</w:t>
      </w:r>
    </w:p>
    <w:p w14:paraId="13F38BC5" w14:textId="1CF42C37" w:rsidR="00813946" w:rsidRDefault="004C54A9" w:rsidP="00DF57C0">
      <w:pPr>
        <w:pStyle w:val="Prrafodelista"/>
      </w:pPr>
      <w:r>
        <w:t>Realizaré</w:t>
      </w:r>
      <w:r w:rsidR="00270DBB">
        <w:t xml:space="preserve"> </w:t>
      </w:r>
      <w:r w:rsidR="006B735B" w:rsidRPr="00270DBB">
        <w:t>un análisis exploratorio</w:t>
      </w:r>
      <w:r w:rsidR="006C2334">
        <w:t xml:space="preserve"> de los datos</w:t>
      </w:r>
      <w:r w:rsidR="006B735B" w:rsidRPr="00270DBB">
        <w:t xml:space="preserve"> a los efectos de detectar puntos relevantes a considerar dentro de la información, como por ejemplo correlaciones de variables</w:t>
      </w:r>
      <w:r w:rsidR="003B2B67">
        <w:t xml:space="preserve">, </w:t>
      </w:r>
      <w:r w:rsidR="00F06581">
        <w:t>datos erróneos, limpieza de registros</w:t>
      </w:r>
      <w:r w:rsidR="00DF57C0">
        <w:t xml:space="preserve"> distribución de saldos, mora y defaults por tiempo, tasas de incumplimiento,</w:t>
      </w:r>
      <w:r w:rsidR="00DF57C0" w:rsidRPr="00DF57C0">
        <w:t xml:space="preserve"> </w:t>
      </w:r>
      <w:r w:rsidR="00DF57C0">
        <w:t>c</w:t>
      </w:r>
      <w:r w:rsidR="00DF57C0" w:rsidRPr="00DF57C0">
        <w:t>orrelaciones entre variables crediticias</w:t>
      </w:r>
      <w:r w:rsidR="00DF57C0">
        <w:t>, entre otras.</w:t>
      </w:r>
    </w:p>
    <w:p w14:paraId="6B8CC5D6" w14:textId="0F8B13E0" w:rsidR="00813946" w:rsidRDefault="006B735B">
      <w:pPr>
        <w:pStyle w:val="Prrafodelista"/>
        <w:numPr>
          <w:ilvl w:val="0"/>
          <w:numId w:val="3"/>
        </w:numPr>
      </w:pPr>
      <w:proofErr w:type="spellStart"/>
      <w:r>
        <w:t>Feature</w:t>
      </w:r>
      <w:proofErr w:type="spellEnd"/>
      <w:r>
        <w:t xml:space="preserve"> </w:t>
      </w:r>
      <w:proofErr w:type="spellStart"/>
      <w:r w:rsidR="009508E5">
        <w:t>E</w:t>
      </w:r>
      <w:r>
        <w:t>ngineering</w:t>
      </w:r>
      <w:proofErr w:type="spellEnd"/>
    </w:p>
    <w:p w14:paraId="040B46D8" w14:textId="419ABD88" w:rsidR="00813946" w:rsidRDefault="006B735B">
      <w:pPr>
        <w:pStyle w:val="Prrafodelista"/>
      </w:pPr>
      <w:r>
        <w:t xml:space="preserve">Esta actividad y la siguiente de modelado, están estrechamente relacionadas y es por este motivo que se plantean desarrollarlas en paralelo. El proceso de </w:t>
      </w:r>
      <w:proofErr w:type="spellStart"/>
      <w:r w:rsidRPr="00C34AED">
        <w:rPr>
          <w:i/>
          <w:iCs/>
        </w:rPr>
        <w:t>feature</w:t>
      </w:r>
      <w:proofErr w:type="spellEnd"/>
      <w:r w:rsidRPr="00C34AED">
        <w:rPr>
          <w:i/>
          <w:iCs/>
        </w:rPr>
        <w:t xml:space="preserve"> </w:t>
      </w:r>
      <w:proofErr w:type="spellStart"/>
      <w:r w:rsidRPr="00C34AED">
        <w:rPr>
          <w:i/>
          <w:iCs/>
        </w:rPr>
        <w:t>engineering</w:t>
      </w:r>
      <w:proofErr w:type="spellEnd"/>
      <w:r>
        <w:t xml:space="preserve"> tiene como objetivo generar nuevas variables a partir de las ya existentes, a los efectos de </w:t>
      </w:r>
      <w:r w:rsidR="00B84503">
        <w:t>mejorar</w:t>
      </w:r>
      <w:r>
        <w:t xml:space="preserve"> la performance de los modelos predictivos que se utilizarán.</w:t>
      </w:r>
    </w:p>
    <w:p w14:paraId="63876521" w14:textId="77777777" w:rsidR="00813946" w:rsidRDefault="006B735B">
      <w:pPr>
        <w:pStyle w:val="Prrafodelista"/>
        <w:numPr>
          <w:ilvl w:val="0"/>
          <w:numId w:val="3"/>
        </w:numPr>
      </w:pPr>
      <w:r>
        <w:lastRenderedPageBreak/>
        <w:t>Modelado</w:t>
      </w:r>
    </w:p>
    <w:p w14:paraId="5B533EE2" w14:textId="4943D08C" w:rsidR="00DF57C0" w:rsidRDefault="00EA7533">
      <w:pPr>
        <w:pStyle w:val="Prrafodelista"/>
      </w:pPr>
      <w:r>
        <w:t xml:space="preserve">La actividad </w:t>
      </w:r>
      <w:r w:rsidR="006B735B">
        <w:t xml:space="preserve">de modelado </w:t>
      </w:r>
      <w:r w:rsidR="00586981">
        <w:t>tiene como objetivo</w:t>
      </w:r>
      <w:r w:rsidR="006B735B">
        <w:t xml:space="preserve"> desarrolla</w:t>
      </w:r>
      <w:r w:rsidR="00586981">
        <w:t xml:space="preserve">r, </w:t>
      </w:r>
      <w:r w:rsidR="006B735B">
        <w:t>optimizar y ajustar un modelo de aprendizaje automático</w:t>
      </w:r>
      <w:r w:rsidR="00277D97">
        <w:t xml:space="preserve"> </w:t>
      </w:r>
      <w:r w:rsidR="00586981">
        <w:t>supervisado</w:t>
      </w:r>
      <w:r w:rsidR="00732FDC">
        <w:t xml:space="preserve"> que nos permita predecir la </w:t>
      </w:r>
      <w:r w:rsidR="004F6294">
        <w:t>variable</w:t>
      </w:r>
      <w:r w:rsidR="00EF2C7F">
        <w:t xml:space="preserve"> </w:t>
      </w:r>
      <w:r w:rsidR="004F6294">
        <w:t>establecid</w:t>
      </w:r>
      <w:r w:rsidR="00EF2C7F">
        <w:t>a</w:t>
      </w:r>
      <w:r w:rsidR="004F6294">
        <w:t>.</w:t>
      </w:r>
      <w:r w:rsidR="006B735B">
        <w:t xml:space="preserve"> </w:t>
      </w:r>
      <w:r w:rsidR="0027134A">
        <w:t xml:space="preserve">Utilizaré </w:t>
      </w:r>
      <w:r w:rsidR="004D656A">
        <w:t xml:space="preserve">técnicas </w:t>
      </w:r>
      <w:r w:rsidR="00DF57C0" w:rsidRPr="00DF57C0">
        <w:t>Regresión Logística (modelo regulatorio clásico)</w:t>
      </w:r>
      <w:r w:rsidR="00CB249E">
        <w:t xml:space="preserve"> el cual será comparado con modelos de Machine </w:t>
      </w:r>
      <w:proofErr w:type="spellStart"/>
      <w:r w:rsidR="00CB249E">
        <w:t>Learning</w:t>
      </w:r>
      <w:proofErr w:type="spellEnd"/>
      <w:r w:rsidR="00CB249E">
        <w:t xml:space="preserve"> más avanzados a modo de referencia</w:t>
      </w:r>
      <w:r w:rsidR="007E203E">
        <w:t>.</w:t>
      </w:r>
    </w:p>
    <w:p w14:paraId="27510F74" w14:textId="1DC3337D" w:rsidR="00586981" w:rsidRDefault="00284D19">
      <w:pPr>
        <w:pStyle w:val="Prrafodelista"/>
      </w:pPr>
      <w:r>
        <w:t xml:space="preserve"> El concepto principal </w:t>
      </w:r>
      <w:r w:rsidR="0027134A">
        <w:t>que desarrollaré</w:t>
      </w:r>
      <w:r>
        <w:t xml:space="preserve"> en este punto se basa en ajustar un modelo supervisado </w:t>
      </w:r>
      <w:r w:rsidR="00DF57C0">
        <w:t>para detectar la verdadera probabilidad de defaultear de los clientes</w:t>
      </w:r>
      <w:r w:rsidR="0097222F">
        <w:t>.</w:t>
      </w:r>
      <w:r w:rsidR="00446933">
        <w:t xml:space="preserve"> Finalmente, se realizará un </w:t>
      </w:r>
      <w:r w:rsidR="00446933" w:rsidRPr="00446933">
        <w:t>score y asignación de bandas de rating interno derivadas de la PD estimada.</w:t>
      </w:r>
    </w:p>
    <w:p w14:paraId="40F9C61F" w14:textId="64ABA492" w:rsidR="00813946" w:rsidRDefault="006B735B">
      <w:pPr>
        <w:pStyle w:val="Prrafodelista"/>
        <w:numPr>
          <w:ilvl w:val="0"/>
          <w:numId w:val="3"/>
        </w:numPr>
      </w:pPr>
      <w:proofErr w:type="spellStart"/>
      <w:r>
        <w:t>Explicabilidad</w:t>
      </w:r>
      <w:proofErr w:type="spellEnd"/>
      <w:r>
        <w:t xml:space="preserve"> del </w:t>
      </w:r>
      <w:r w:rsidR="00155B5E">
        <w:t>M</w:t>
      </w:r>
      <w:r>
        <w:t>odelo</w:t>
      </w:r>
    </w:p>
    <w:p w14:paraId="5B93E748" w14:textId="39675558" w:rsidR="00F2500E" w:rsidRDefault="00F2500E" w:rsidP="00F2500E">
      <w:pPr>
        <w:pStyle w:val="Prrafodelista"/>
      </w:pPr>
      <w:r>
        <w:t xml:space="preserve">Según la normativa IFRS 9 y las guías del </w:t>
      </w:r>
      <w:proofErr w:type="spellStart"/>
      <w:r>
        <w:t>European</w:t>
      </w:r>
      <w:proofErr w:type="spellEnd"/>
      <w:r>
        <w:t xml:space="preserve"> </w:t>
      </w:r>
      <w:proofErr w:type="spellStart"/>
      <w:r>
        <w:t>Banking</w:t>
      </w:r>
      <w:proofErr w:type="spellEnd"/>
      <w:r>
        <w:t xml:space="preserve"> </w:t>
      </w:r>
      <w:proofErr w:type="spellStart"/>
      <w:r>
        <w:t>Authority</w:t>
      </w:r>
      <w:proofErr w:type="spellEnd"/>
      <w:r>
        <w:t xml:space="preserve"> (EBA), los modelos utilizados para estimar parámetros crediticios deben ser comprensibles, auditables y explicables [3]. La transparencia metodológica es un requisito fundamental tanto para los auditores externos como para los supervisores financieros.</w:t>
      </w:r>
    </w:p>
    <w:p w14:paraId="692D6135" w14:textId="4C41E38A" w:rsidR="00F2500E" w:rsidRDefault="00F2500E" w:rsidP="00F2500E">
      <w:pPr>
        <w:pStyle w:val="Prrafodelista"/>
      </w:pPr>
      <w:r>
        <w:t xml:space="preserve">Para cumplir con estos principios, el presente trabajo aplicará herramientas de </w:t>
      </w:r>
      <w:proofErr w:type="spellStart"/>
      <w:r>
        <w:t>model</w:t>
      </w:r>
      <w:proofErr w:type="spellEnd"/>
      <w:r>
        <w:t xml:space="preserve"> </w:t>
      </w:r>
      <w:proofErr w:type="spellStart"/>
      <w:r>
        <w:t>interpretability</w:t>
      </w:r>
      <w:proofErr w:type="spellEnd"/>
      <w:r>
        <w:t xml:space="preserve"> en dos niveles:</w:t>
      </w:r>
    </w:p>
    <w:p w14:paraId="00B2BC35" w14:textId="16C3056B" w:rsidR="00F2500E" w:rsidRDefault="00F2500E" w:rsidP="00F2500E">
      <w:pPr>
        <w:pStyle w:val="Prrafodelista"/>
        <w:numPr>
          <w:ilvl w:val="0"/>
          <w:numId w:val="13"/>
        </w:numPr>
      </w:pPr>
      <w:proofErr w:type="spellStart"/>
      <w:r>
        <w:t>Explicabilidad</w:t>
      </w:r>
      <w:proofErr w:type="spellEnd"/>
      <w:r>
        <w:t xml:space="preserve"> global: análisis de importancia de variables mediante </w:t>
      </w:r>
      <w:proofErr w:type="spellStart"/>
      <w:r>
        <w:t>Gain</w:t>
      </w:r>
      <w:proofErr w:type="spellEnd"/>
      <w:r>
        <w:t xml:space="preserve"> </w:t>
      </w:r>
      <w:proofErr w:type="spellStart"/>
      <w:r>
        <w:t>Importance</w:t>
      </w:r>
      <w:proofErr w:type="spellEnd"/>
      <w:r>
        <w:t xml:space="preserve">, </w:t>
      </w:r>
      <w:proofErr w:type="spellStart"/>
      <w:r>
        <w:t>Permutation</w:t>
      </w:r>
      <w:proofErr w:type="spellEnd"/>
      <w:r>
        <w:t xml:space="preserve"> </w:t>
      </w:r>
      <w:proofErr w:type="spellStart"/>
      <w:r>
        <w:t>Importance</w:t>
      </w:r>
      <w:proofErr w:type="spellEnd"/>
      <w:r>
        <w:t xml:space="preserve"> y SHAP </w:t>
      </w:r>
      <w:proofErr w:type="spellStart"/>
      <w:r>
        <w:t>summary</w:t>
      </w:r>
      <w:proofErr w:type="spellEnd"/>
      <w:r>
        <w:t xml:space="preserve"> </w:t>
      </w:r>
      <w:proofErr w:type="spellStart"/>
      <w:r>
        <w:t>plots</w:t>
      </w:r>
      <w:proofErr w:type="spellEnd"/>
      <w:r>
        <w:t>.</w:t>
      </w:r>
    </w:p>
    <w:p w14:paraId="63EAEFE7" w14:textId="77777777" w:rsidR="00F2500E" w:rsidRDefault="00F2500E" w:rsidP="00F2500E">
      <w:pPr>
        <w:pStyle w:val="Prrafodelista"/>
        <w:numPr>
          <w:ilvl w:val="0"/>
          <w:numId w:val="13"/>
        </w:numPr>
      </w:pPr>
      <w:proofErr w:type="spellStart"/>
      <w:r>
        <w:t>Explicabilidad</w:t>
      </w:r>
      <w:proofErr w:type="spellEnd"/>
      <w:r>
        <w:t xml:space="preserve"> local: explicación de predicciones individuales mediante SHAP </w:t>
      </w:r>
      <w:proofErr w:type="spellStart"/>
      <w:r>
        <w:t>values</w:t>
      </w:r>
      <w:proofErr w:type="spellEnd"/>
      <w:r>
        <w:t xml:space="preserve"> y Local </w:t>
      </w:r>
      <w:proofErr w:type="spellStart"/>
      <w:r>
        <w:t>Surrogate</w:t>
      </w:r>
      <w:proofErr w:type="spellEnd"/>
      <w:r>
        <w:t xml:space="preserve"> </w:t>
      </w:r>
      <w:proofErr w:type="spellStart"/>
      <w:r>
        <w:t>Models</w:t>
      </w:r>
      <w:proofErr w:type="spellEnd"/>
      <w:r>
        <w:t xml:space="preserve"> (LIME).</w:t>
      </w:r>
    </w:p>
    <w:p w14:paraId="6167613C" w14:textId="61F717FF" w:rsidR="00F2500E" w:rsidRDefault="00F2500E" w:rsidP="00F2500E">
      <w:pPr>
        <w:pStyle w:val="Prrafodelista"/>
      </w:pPr>
      <w:r>
        <w:t xml:space="preserve">Estas técnicas permiten cuantificar el efecto marginal de cada variable sobre la PD estimada, cumpliendo con los requisitos de </w:t>
      </w:r>
      <w:proofErr w:type="spellStart"/>
      <w:r>
        <w:t>model</w:t>
      </w:r>
      <w:proofErr w:type="spellEnd"/>
      <w:r>
        <w:t xml:space="preserve"> </w:t>
      </w:r>
      <w:proofErr w:type="spellStart"/>
      <w:r>
        <w:t>governance</w:t>
      </w:r>
      <w:proofErr w:type="spellEnd"/>
      <w:r>
        <w:t xml:space="preserve"> establecidos en IFRS 9 y en los principios del BCBS sobre modelos de riesgo [1].</w:t>
      </w:r>
    </w:p>
    <w:p w14:paraId="741B5FC8" w14:textId="4E43381C" w:rsidR="00446933" w:rsidRDefault="00446933" w:rsidP="00446933">
      <w:pPr>
        <w:pStyle w:val="Prrafodelista"/>
        <w:numPr>
          <w:ilvl w:val="0"/>
          <w:numId w:val="3"/>
        </w:numPr>
      </w:pPr>
      <w:r w:rsidRPr="00446933">
        <w:t>Calibración PIT–TTC y Validación</w:t>
      </w:r>
    </w:p>
    <w:p w14:paraId="4AD296F2" w14:textId="77777777" w:rsidR="00446933" w:rsidRPr="00446933" w:rsidRDefault="00446933" w:rsidP="00446933">
      <w:pPr>
        <w:pStyle w:val="Prrafodelista"/>
      </w:pPr>
      <w:r w:rsidRPr="00446933">
        <w:t>Esta fase busca asegurar que las PD estimadas sean coherentes, estables y regulatoriamente válidas.</w:t>
      </w:r>
    </w:p>
    <w:p w14:paraId="0BF5A26D" w14:textId="77777777" w:rsidR="00446933" w:rsidRPr="00446933" w:rsidRDefault="00446933" w:rsidP="00446933">
      <w:pPr>
        <w:pStyle w:val="Prrafodelista"/>
      </w:pPr>
      <w:r w:rsidRPr="00446933">
        <w:t>Las actividades incluyen:</w:t>
      </w:r>
    </w:p>
    <w:p w14:paraId="6964E146" w14:textId="77777777" w:rsidR="00446933" w:rsidRPr="00446933" w:rsidRDefault="00446933" w:rsidP="00446933">
      <w:pPr>
        <w:pStyle w:val="Prrafodelista"/>
        <w:numPr>
          <w:ilvl w:val="0"/>
          <w:numId w:val="15"/>
        </w:numPr>
      </w:pPr>
      <w:r w:rsidRPr="00446933">
        <w:t xml:space="preserve">Calibración PIT–TTC para transformar las PD </w:t>
      </w:r>
      <w:proofErr w:type="spellStart"/>
      <w:r w:rsidRPr="00446933">
        <w:t>point</w:t>
      </w:r>
      <w:proofErr w:type="spellEnd"/>
      <w:r w:rsidRPr="00446933">
        <w:t>-</w:t>
      </w:r>
      <w:proofErr w:type="spellStart"/>
      <w:r w:rsidRPr="00446933">
        <w:t>in-time</w:t>
      </w:r>
      <w:proofErr w:type="spellEnd"/>
      <w:r w:rsidRPr="00446933">
        <w:t xml:space="preserve"> en </w:t>
      </w:r>
      <w:proofErr w:type="spellStart"/>
      <w:r w:rsidRPr="00446933">
        <w:t>through-the-cycle</w:t>
      </w:r>
      <w:proofErr w:type="spellEnd"/>
      <w:r w:rsidRPr="00446933">
        <w:t>, cuando sea aplicable, garantizando consistencia con los horizontes IFRS 9.</w:t>
      </w:r>
    </w:p>
    <w:p w14:paraId="5E2324AD" w14:textId="77777777" w:rsidR="00446933" w:rsidRPr="00446933" w:rsidRDefault="00446933" w:rsidP="00446933">
      <w:pPr>
        <w:pStyle w:val="Prrafodelista"/>
        <w:numPr>
          <w:ilvl w:val="0"/>
          <w:numId w:val="15"/>
        </w:numPr>
      </w:pPr>
      <w:r w:rsidRPr="00446933">
        <w:t xml:space="preserve">Ajuste de las probabilidades mediante Platt </w:t>
      </w:r>
      <w:proofErr w:type="spellStart"/>
      <w:r w:rsidRPr="00446933">
        <w:t>Scaling</w:t>
      </w:r>
      <w:proofErr w:type="spellEnd"/>
      <w:r w:rsidRPr="00446933">
        <w:t xml:space="preserve"> o </w:t>
      </w:r>
      <w:proofErr w:type="spellStart"/>
      <w:r w:rsidRPr="00446933">
        <w:t>Isotonic</w:t>
      </w:r>
      <w:proofErr w:type="spellEnd"/>
      <w:r w:rsidRPr="00446933">
        <w:t xml:space="preserve"> </w:t>
      </w:r>
      <w:proofErr w:type="spellStart"/>
      <w:r w:rsidRPr="00446933">
        <w:t>Regression</w:t>
      </w:r>
      <w:proofErr w:type="spellEnd"/>
      <w:r w:rsidRPr="00446933">
        <w:t>.</w:t>
      </w:r>
    </w:p>
    <w:p w14:paraId="0542F06B" w14:textId="77777777" w:rsidR="00446933" w:rsidRPr="00446933" w:rsidRDefault="00446933" w:rsidP="00446933">
      <w:pPr>
        <w:pStyle w:val="Prrafodelista"/>
        <w:numPr>
          <w:ilvl w:val="0"/>
          <w:numId w:val="15"/>
        </w:numPr>
      </w:pPr>
      <w:r w:rsidRPr="00446933">
        <w:lastRenderedPageBreak/>
        <w:t>Validación temporal (</w:t>
      </w:r>
      <w:proofErr w:type="spellStart"/>
      <w:r w:rsidRPr="00446933">
        <w:t>out</w:t>
      </w:r>
      <w:proofErr w:type="spellEnd"/>
      <w:r w:rsidRPr="00446933">
        <w:t>-</w:t>
      </w:r>
      <w:proofErr w:type="spellStart"/>
      <w:r w:rsidRPr="00446933">
        <w:t>of</w:t>
      </w:r>
      <w:proofErr w:type="spellEnd"/>
      <w:r w:rsidRPr="00446933">
        <w:t>-time) y por segmentos (LTV, score, vintage).</w:t>
      </w:r>
    </w:p>
    <w:p w14:paraId="740DFE1A" w14:textId="77777777" w:rsidR="00446933" w:rsidRPr="00446933" w:rsidRDefault="00446933" w:rsidP="00446933">
      <w:pPr>
        <w:pStyle w:val="Prrafodelista"/>
        <w:numPr>
          <w:ilvl w:val="0"/>
          <w:numId w:val="15"/>
        </w:numPr>
      </w:pPr>
      <w:r w:rsidRPr="00446933">
        <w:t xml:space="preserve">Análisis de estabilidad (PSI, </w:t>
      </w:r>
      <w:proofErr w:type="spellStart"/>
      <w:r w:rsidRPr="00446933">
        <w:t>drift</w:t>
      </w:r>
      <w:proofErr w:type="spellEnd"/>
      <w:r w:rsidRPr="00446933">
        <w:t xml:space="preserve">) y </w:t>
      </w:r>
      <w:proofErr w:type="spellStart"/>
      <w:r w:rsidRPr="00446933">
        <w:t>backtesting</w:t>
      </w:r>
      <w:proofErr w:type="spellEnd"/>
      <w:r w:rsidRPr="00446933">
        <w:t xml:space="preserve"> histórico.</w:t>
      </w:r>
    </w:p>
    <w:p w14:paraId="0538EE51" w14:textId="0F5C7288" w:rsidR="00446933" w:rsidRPr="00446933" w:rsidRDefault="00446933" w:rsidP="00446933">
      <w:pPr>
        <w:pStyle w:val="Prrafodelista"/>
        <w:numPr>
          <w:ilvl w:val="0"/>
          <w:numId w:val="15"/>
        </w:numPr>
      </w:pPr>
      <w:r w:rsidRPr="00446933">
        <w:t xml:space="preserve">Comparación del modelo PD con el </w:t>
      </w:r>
      <w:proofErr w:type="spellStart"/>
      <w:r w:rsidRPr="00446933">
        <w:t>credit_score</w:t>
      </w:r>
      <w:proofErr w:type="spellEnd"/>
      <w:r w:rsidRPr="00446933">
        <w:t xml:space="preserve"> de </w:t>
      </w:r>
      <w:proofErr w:type="spellStart"/>
      <w:r w:rsidRPr="00446933">
        <w:t>originación</w:t>
      </w:r>
      <w:proofErr w:type="spellEnd"/>
      <w:r w:rsidRPr="00446933">
        <w:t xml:space="preserve"> (</w:t>
      </w:r>
      <w:proofErr w:type="spellStart"/>
      <w:r w:rsidRPr="00446933">
        <w:t>benchmark</w:t>
      </w:r>
      <w:proofErr w:type="spellEnd"/>
      <w:r w:rsidRPr="00446933">
        <w:t>).</w:t>
      </w:r>
    </w:p>
    <w:p w14:paraId="5C8F301C" w14:textId="23F03F32" w:rsidR="00446933" w:rsidRDefault="006F55C9" w:rsidP="00446933">
      <w:pPr>
        <w:pStyle w:val="Prrafodelista"/>
        <w:numPr>
          <w:ilvl w:val="0"/>
          <w:numId w:val="3"/>
        </w:numPr>
      </w:pPr>
      <w:r>
        <w:t>Análisis de resultados y conclusiones</w:t>
      </w:r>
    </w:p>
    <w:p w14:paraId="44827A11" w14:textId="77777777" w:rsidR="00446933" w:rsidRPr="00446933" w:rsidRDefault="00446933" w:rsidP="00446933">
      <w:pPr>
        <w:ind w:left="708"/>
      </w:pPr>
      <w:r w:rsidRPr="00446933">
        <w:t>Finalmente, se realizará un análisis integral de los resultados obtenidos para evaluar el desempeño del modelo y su coherencia con la realidad económica del portafolio.</w:t>
      </w:r>
    </w:p>
    <w:p w14:paraId="5C91C31A" w14:textId="77777777" w:rsidR="00446933" w:rsidRPr="00446933" w:rsidRDefault="00446933" w:rsidP="00446933">
      <w:pPr>
        <w:ind w:left="708"/>
      </w:pPr>
      <w:r w:rsidRPr="00446933">
        <w:t>Se analizarán:</w:t>
      </w:r>
    </w:p>
    <w:p w14:paraId="5EF6AFFC" w14:textId="77777777" w:rsidR="00446933" w:rsidRPr="00446933" w:rsidRDefault="00446933" w:rsidP="00446933">
      <w:pPr>
        <w:numPr>
          <w:ilvl w:val="0"/>
          <w:numId w:val="16"/>
        </w:numPr>
        <w:tabs>
          <w:tab w:val="clear" w:pos="720"/>
          <w:tab w:val="num" w:pos="1428"/>
        </w:tabs>
        <w:ind w:left="1428"/>
      </w:pPr>
      <w:r w:rsidRPr="00446933">
        <w:t>El grado de discriminación y calibración del modelo.</w:t>
      </w:r>
    </w:p>
    <w:p w14:paraId="38CA33D5" w14:textId="77777777" w:rsidR="00446933" w:rsidRPr="00446933" w:rsidRDefault="00446933" w:rsidP="00446933">
      <w:pPr>
        <w:numPr>
          <w:ilvl w:val="0"/>
          <w:numId w:val="16"/>
        </w:numPr>
        <w:tabs>
          <w:tab w:val="clear" w:pos="720"/>
          <w:tab w:val="num" w:pos="1428"/>
        </w:tabs>
        <w:ind w:left="1428"/>
      </w:pPr>
      <w:r w:rsidRPr="00446933">
        <w:t>La estabilidad de las PD a lo largo del tiempo y por segmentos de riesgo.</w:t>
      </w:r>
    </w:p>
    <w:p w14:paraId="403351B0" w14:textId="77777777" w:rsidR="00446933" w:rsidRPr="00446933" w:rsidRDefault="00446933" w:rsidP="00446933">
      <w:pPr>
        <w:numPr>
          <w:ilvl w:val="0"/>
          <w:numId w:val="16"/>
        </w:numPr>
        <w:tabs>
          <w:tab w:val="clear" w:pos="720"/>
          <w:tab w:val="num" w:pos="1428"/>
        </w:tabs>
        <w:ind w:left="1428"/>
      </w:pPr>
      <w:r w:rsidRPr="00446933">
        <w:t xml:space="preserve">Las variables con mayor influencia según las técnicas de </w:t>
      </w:r>
      <w:proofErr w:type="spellStart"/>
      <w:r w:rsidRPr="00446933">
        <w:t>explicabilidad</w:t>
      </w:r>
      <w:proofErr w:type="spellEnd"/>
      <w:r w:rsidRPr="00446933">
        <w:t>.</w:t>
      </w:r>
    </w:p>
    <w:p w14:paraId="0BD1A894" w14:textId="77777777" w:rsidR="00446933" w:rsidRPr="00446933" w:rsidRDefault="00446933" w:rsidP="00446933">
      <w:pPr>
        <w:numPr>
          <w:ilvl w:val="0"/>
          <w:numId w:val="16"/>
        </w:numPr>
        <w:tabs>
          <w:tab w:val="clear" w:pos="720"/>
          <w:tab w:val="num" w:pos="1428"/>
        </w:tabs>
        <w:ind w:left="1428"/>
      </w:pPr>
      <w:r w:rsidRPr="00446933">
        <w:t xml:space="preserve">La comparación entre PD modelo vs. score de </w:t>
      </w:r>
      <w:proofErr w:type="spellStart"/>
      <w:r w:rsidRPr="00446933">
        <w:t>originación</w:t>
      </w:r>
      <w:proofErr w:type="spellEnd"/>
      <w:r w:rsidRPr="00446933">
        <w:t xml:space="preserve"> (FICO).</w:t>
      </w:r>
    </w:p>
    <w:p w14:paraId="053CEEDD" w14:textId="77777777" w:rsidR="00446933" w:rsidRPr="00446933" w:rsidRDefault="00446933" w:rsidP="00446933">
      <w:pPr>
        <w:numPr>
          <w:ilvl w:val="0"/>
          <w:numId w:val="16"/>
        </w:numPr>
        <w:tabs>
          <w:tab w:val="clear" w:pos="720"/>
          <w:tab w:val="num" w:pos="1428"/>
        </w:tabs>
        <w:ind w:left="1428"/>
      </w:pPr>
      <w:r w:rsidRPr="00446933">
        <w:t>Las implicaciones prácticas del modelo en contextos de adopción de IFRS 9 en Latinoamérica.</w:t>
      </w:r>
    </w:p>
    <w:p w14:paraId="06144B1F" w14:textId="0A8EEA9A" w:rsidR="00446933" w:rsidRDefault="00446933" w:rsidP="00446933">
      <w:pPr>
        <w:ind w:left="708"/>
      </w:pPr>
      <w:r w:rsidRPr="00446933">
        <w:t xml:space="preserve">Esta etapa cerrará con las conclusiones generales, las limitaciones del estudio y las propuestas de líneas futuras, tales como la extensión del modelo a stress </w:t>
      </w:r>
      <w:proofErr w:type="spellStart"/>
      <w:r w:rsidRPr="00446933">
        <w:t>testing</w:t>
      </w:r>
      <w:proofErr w:type="spellEnd"/>
      <w:r w:rsidRPr="00446933">
        <w:t xml:space="preserve"> macroeconómico y la incorporación de LGD y EAD para el cálculo integral del </w:t>
      </w:r>
      <w:proofErr w:type="spellStart"/>
      <w:r w:rsidRPr="00446933">
        <w:t>Expected</w:t>
      </w:r>
      <w:proofErr w:type="spellEnd"/>
      <w:r w:rsidRPr="00446933">
        <w:t xml:space="preserve"> </w:t>
      </w:r>
      <w:proofErr w:type="spellStart"/>
      <w:r w:rsidRPr="00446933">
        <w:t>Credit</w:t>
      </w:r>
      <w:proofErr w:type="spellEnd"/>
      <w:r w:rsidRPr="00446933">
        <w:t xml:space="preserve"> </w:t>
      </w:r>
      <w:proofErr w:type="spellStart"/>
      <w:r w:rsidRPr="00446933">
        <w:t>Loss</w:t>
      </w:r>
      <w:proofErr w:type="spellEnd"/>
      <w:r w:rsidRPr="00446933">
        <w:t xml:space="preserve"> (ECL).</w:t>
      </w:r>
    </w:p>
    <w:p w14:paraId="5E997C4A" w14:textId="558351E6" w:rsidR="00813946" w:rsidRPr="00747E20" w:rsidRDefault="006B735B" w:rsidP="00747E20">
      <w:pPr>
        <w:pStyle w:val="Ttulo1"/>
      </w:pPr>
      <w:bookmarkStart w:id="7" w:name="_Toc168252289"/>
      <w:r w:rsidRPr="00747E20">
        <w:t>Cronograma de trabajo</w:t>
      </w:r>
      <w:bookmarkEnd w:id="7"/>
    </w:p>
    <w:tbl>
      <w:tblPr>
        <w:tblW w:w="10151" w:type="dxa"/>
        <w:tblCellMar>
          <w:left w:w="70" w:type="dxa"/>
          <w:right w:w="70" w:type="dxa"/>
        </w:tblCellMar>
        <w:tblLook w:val="04A0" w:firstRow="1" w:lastRow="0" w:firstColumn="1" w:lastColumn="0" w:noHBand="0" w:noVBand="1"/>
      </w:tblPr>
      <w:tblGrid>
        <w:gridCol w:w="2545"/>
        <w:gridCol w:w="536"/>
        <w:gridCol w:w="505"/>
        <w:gridCol w:w="489"/>
        <w:gridCol w:w="521"/>
        <w:gridCol w:w="536"/>
        <w:gridCol w:w="505"/>
        <w:gridCol w:w="489"/>
        <w:gridCol w:w="442"/>
        <w:gridCol w:w="505"/>
        <w:gridCol w:w="536"/>
        <w:gridCol w:w="489"/>
        <w:gridCol w:w="505"/>
        <w:gridCol w:w="442"/>
        <w:gridCol w:w="536"/>
        <w:gridCol w:w="552"/>
        <w:gridCol w:w="18"/>
      </w:tblGrid>
      <w:tr w:rsidR="00446933" w:rsidRPr="00446933" w14:paraId="4B364755" w14:textId="77777777" w:rsidTr="00446933">
        <w:trPr>
          <w:trHeight w:val="353"/>
        </w:trPr>
        <w:tc>
          <w:tcPr>
            <w:tcW w:w="2545" w:type="dxa"/>
            <w:vMerge w:val="restart"/>
            <w:tcBorders>
              <w:top w:val="single" w:sz="4" w:space="0" w:color="auto"/>
              <w:left w:val="single" w:sz="4" w:space="0" w:color="auto"/>
              <w:bottom w:val="single" w:sz="4" w:space="0" w:color="auto"/>
              <w:right w:val="single" w:sz="4" w:space="0" w:color="auto"/>
            </w:tcBorders>
            <w:shd w:val="clear" w:color="000000" w:fill="ADADAD"/>
            <w:vAlign w:val="center"/>
            <w:hideMark/>
          </w:tcPr>
          <w:p w14:paraId="7F866B4D"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 xml:space="preserve">c.      Creación del </w:t>
            </w:r>
            <w:proofErr w:type="spellStart"/>
            <w:r w:rsidRPr="00446933">
              <w:rPr>
                <w:rFonts w:ascii="Aptos Narrow" w:eastAsia="Times New Roman" w:hAnsi="Aptos Narrow" w:cs="Times New Roman"/>
                <w:b/>
                <w:bCs/>
                <w:color w:val="000000"/>
                <w:sz w:val="28"/>
                <w:szCs w:val="28"/>
                <w:lang w:val="es-ES" w:eastAsia="es-ES"/>
              </w:rPr>
              <w:t>Dataset</w:t>
            </w:r>
            <w:proofErr w:type="spellEnd"/>
          </w:p>
        </w:tc>
        <w:tc>
          <w:tcPr>
            <w:tcW w:w="7606" w:type="dxa"/>
            <w:gridSpan w:val="16"/>
            <w:tcBorders>
              <w:top w:val="single" w:sz="4" w:space="0" w:color="auto"/>
              <w:left w:val="nil"/>
              <w:bottom w:val="single" w:sz="4" w:space="0" w:color="auto"/>
              <w:right w:val="single" w:sz="4" w:space="0" w:color="auto"/>
            </w:tcBorders>
            <w:shd w:val="clear" w:color="000000" w:fill="ADADAD"/>
            <w:vAlign w:val="bottom"/>
            <w:hideMark/>
          </w:tcPr>
          <w:p w14:paraId="62CF7131"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Mes</w:t>
            </w:r>
          </w:p>
        </w:tc>
      </w:tr>
      <w:tr w:rsidR="00446933" w:rsidRPr="00446933" w14:paraId="746E5E9E" w14:textId="77777777" w:rsidTr="00446933">
        <w:trPr>
          <w:gridAfter w:val="1"/>
          <w:wAfter w:w="18" w:type="dxa"/>
          <w:trHeight w:val="353"/>
        </w:trPr>
        <w:tc>
          <w:tcPr>
            <w:tcW w:w="2545" w:type="dxa"/>
            <w:vMerge/>
            <w:tcBorders>
              <w:top w:val="single" w:sz="4" w:space="0" w:color="auto"/>
              <w:left w:val="single" w:sz="4" w:space="0" w:color="auto"/>
              <w:bottom w:val="single" w:sz="4" w:space="0" w:color="auto"/>
              <w:right w:val="single" w:sz="4" w:space="0" w:color="auto"/>
            </w:tcBorders>
            <w:vAlign w:val="center"/>
            <w:hideMark/>
          </w:tcPr>
          <w:p w14:paraId="7C5B5C3F" w14:textId="77777777" w:rsidR="00446933" w:rsidRPr="00446933" w:rsidRDefault="00446933" w:rsidP="00446933">
            <w:pPr>
              <w:suppressAutoHyphens w:val="0"/>
              <w:spacing w:line="240" w:lineRule="auto"/>
              <w:jc w:val="left"/>
              <w:rPr>
                <w:rFonts w:ascii="Aptos Narrow" w:eastAsia="Times New Roman" w:hAnsi="Aptos Narrow" w:cs="Times New Roman"/>
                <w:b/>
                <w:bCs/>
                <w:color w:val="000000"/>
                <w:sz w:val="28"/>
                <w:szCs w:val="28"/>
                <w:lang w:val="es-ES" w:eastAsia="es-ES"/>
              </w:rPr>
            </w:pPr>
          </w:p>
        </w:tc>
        <w:tc>
          <w:tcPr>
            <w:tcW w:w="536" w:type="dxa"/>
            <w:tcBorders>
              <w:top w:val="nil"/>
              <w:left w:val="nil"/>
              <w:bottom w:val="single" w:sz="4" w:space="0" w:color="auto"/>
              <w:right w:val="single" w:sz="4" w:space="0" w:color="auto"/>
            </w:tcBorders>
            <w:shd w:val="clear" w:color="000000" w:fill="ADADAD"/>
            <w:vAlign w:val="bottom"/>
            <w:hideMark/>
          </w:tcPr>
          <w:p w14:paraId="57EECAF5"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1</w:t>
            </w:r>
          </w:p>
        </w:tc>
        <w:tc>
          <w:tcPr>
            <w:tcW w:w="505" w:type="dxa"/>
            <w:tcBorders>
              <w:top w:val="nil"/>
              <w:left w:val="nil"/>
              <w:bottom w:val="single" w:sz="4" w:space="0" w:color="auto"/>
              <w:right w:val="single" w:sz="4" w:space="0" w:color="auto"/>
            </w:tcBorders>
            <w:shd w:val="clear" w:color="000000" w:fill="ADADAD"/>
            <w:vAlign w:val="bottom"/>
            <w:hideMark/>
          </w:tcPr>
          <w:p w14:paraId="7EECEC65"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2</w:t>
            </w:r>
          </w:p>
        </w:tc>
        <w:tc>
          <w:tcPr>
            <w:tcW w:w="489" w:type="dxa"/>
            <w:tcBorders>
              <w:top w:val="nil"/>
              <w:left w:val="nil"/>
              <w:bottom w:val="single" w:sz="4" w:space="0" w:color="auto"/>
              <w:right w:val="single" w:sz="4" w:space="0" w:color="auto"/>
            </w:tcBorders>
            <w:shd w:val="clear" w:color="000000" w:fill="ADADAD"/>
            <w:vAlign w:val="bottom"/>
            <w:hideMark/>
          </w:tcPr>
          <w:p w14:paraId="6235E543"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3</w:t>
            </w:r>
          </w:p>
        </w:tc>
        <w:tc>
          <w:tcPr>
            <w:tcW w:w="521" w:type="dxa"/>
            <w:tcBorders>
              <w:top w:val="nil"/>
              <w:left w:val="nil"/>
              <w:bottom w:val="single" w:sz="4" w:space="0" w:color="auto"/>
              <w:right w:val="single" w:sz="4" w:space="0" w:color="auto"/>
            </w:tcBorders>
            <w:shd w:val="clear" w:color="000000" w:fill="ADADAD"/>
            <w:vAlign w:val="bottom"/>
            <w:hideMark/>
          </w:tcPr>
          <w:p w14:paraId="48A91DDF"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4</w:t>
            </w:r>
          </w:p>
        </w:tc>
        <w:tc>
          <w:tcPr>
            <w:tcW w:w="536" w:type="dxa"/>
            <w:tcBorders>
              <w:top w:val="nil"/>
              <w:left w:val="nil"/>
              <w:bottom w:val="single" w:sz="4" w:space="0" w:color="auto"/>
              <w:right w:val="single" w:sz="4" w:space="0" w:color="auto"/>
            </w:tcBorders>
            <w:shd w:val="clear" w:color="000000" w:fill="ADADAD"/>
            <w:vAlign w:val="bottom"/>
            <w:hideMark/>
          </w:tcPr>
          <w:p w14:paraId="1AEBC862"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5</w:t>
            </w:r>
          </w:p>
        </w:tc>
        <w:tc>
          <w:tcPr>
            <w:tcW w:w="505" w:type="dxa"/>
            <w:tcBorders>
              <w:top w:val="nil"/>
              <w:left w:val="nil"/>
              <w:bottom w:val="single" w:sz="4" w:space="0" w:color="auto"/>
              <w:right w:val="single" w:sz="4" w:space="0" w:color="auto"/>
            </w:tcBorders>
            <w:shd w:val="clear" w:color="000000" w:fill="ADADAD"/>
            <w:vAlign w:val="bottom"/>
            <w:hideMark/>
          </w:tcPr>
          <w:p w14:paraId="62731F4E"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6</w:t>
            </w:r>
          </w:p>
        </w:tc>
        <w:tc>
          <w:tcPr>
            <w:tcW w:w="489" w:type="dxa"/>
            <w:tcBorders>
              <w:top w:val="nil"/>
              <w:left w:val="nil"/>
              <w:bottom w:val="single" w:sz="4" w:space="0" w:color="auto"/>
              <w:right w:val="single" w:sz="4" w:space="0" w:color="auto"/>
            </w:tcBorders>
            <w:shd w:val="clear" w:color="000000" w:fill="ADADAD"/>
            <w:vAlign w:val="bottom"/>
            <w:hideMark/>
          </w:tcPr>
          <w:p w14:paraId="7584ED04"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7</w:t>
            </w:r>
          </w:p>
        </w:tc>
        <w:tc>
          <w:tcPr>
            <w:tcW w:w="442" w:type="dxa"/>
            <w:tcBorders>
              <w:top w:val="nil"/>
              <w:left w:val="nil"/>
              <w:bottom w:val="single" w:sz="4" w:space="0" w:color="auto"/>
              <w:right w:val="single" w:sz="4" w:space="0" w:color="auto"/>
            </w:tcBorders>
            <w:shd w:val="clear" w:color="000000" w:fill="ADADAD"/>
            <w:vAlign w:val="bottom"/>
            <w:hideMark/>
          </w:tcPr>
          <w:p w14:paraId="0785B20F"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8</w:t>
            </w:r>
          </w:p>
        </w:tc>
        <w:tc>
          <w:tcPr>
            <w:tcW w:w="505" w:type="dxa"/>
            <w:tcBorders>
              <w:top w:val="nil"/>
              <w:left w:val="nil"/>
              <w:bottom w:val="single" w:sz="4" w:space="0" w:color="auto"/>
              <w:right w:val="single" w:sz="4" w:space="0" w:color="auto"/>
            </w:tcBorders>
            <w:shd w:val="clear" w:color="000000" w:fill="ADADAD"/>
            <w:vAlign w:val="bottom"/>
            <w:hideMark/>
          </w:tcPr>
          <w:p w14:paraId="2F0CA9D0"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9</w:t>
            </w:r>
          </w:p>
        </w:tc>
        <w:tc>
          <w:tcPr>
            <w:tcW w:w="536" w:type="dxa"/>
            <w:tcBorders>
              <w:top w:val="nil"/>
              <w:left w:val="nil"/>
              <w:bottom w:val="single" w:sz="4" w:space="0" w:color="auto"/>
              <w:right w:val="single" w:sz="4" w:space="0" w:color="auto"/>
            </w:tcBorders>
            <w:shd w:val="clear" w:color="000000" w:fill="ADADAD"/>
            <w:vAlign w:val="bottom"/>
            <w:hideMark/>
          </w:tcPr>
          <w:p w14:paraId="13DB6B87"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10</w:t>
            </w:r>
          </w:p>
        </w:tc>
        <w:tc>
          <w:tcPr>
            <w:tcW w:w="489" w:type="dxa"/>
            <w:tcBorders>
              <w:top w:val="nil"/>
              <w:left w:val="nil"/>
              <w:bottom w:val="single" w:sz="4" w:space="0" w:color="auto"/>
              <w:right w:val="single" w:sz="4" w:space="0" w:color="auto"/>
            </w:tcBorders>
            <w:shd w:val="clear" w:color="000000" w:fill="ADADAD"/>
            <w:vAlign w:val="bottom"/>
            <w:hideMark/>
          </w:tcPr>
          <w:p w14:paraId="63B8E126"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11</w:t>
            </w:r>
          </w:p>
        </w:tc>
        <w:tc>
          <w:tcPr>
            <w:tcW w:w="505" w:type="dxa"/>
            <w:tcBorders>
              <w:top w:val="nil"/>
              <w:left w:val="nil"/>
              <w:bottom w:val="single" w:sz="4" w:space="0" w:color="auto"/>
              <w:right w:val="single" w:sz="4" w:space="0" w:color="auto"/>
            </w:tcBorders>
            <w:shd w:val="clear" w:color="000000" w:fill="ADADAD"/>
            <w:vAlign w:val="bottom"/>
            <w:hideMark/>
          </w:tcPr>
          <w:p w14:paraId="46A2571B"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12</w:t>
            </w:r>
          </w:p>
        </w:tc>
        <w:tc>
          <w:tcPr>
            <w:tcW w:w="442" w:type="dxa"/>
            <w:tcBorders>
              <w:top w:val="nil"/>
              <w:left w:val="nil"/>
              <w:bottom w:val="single" w:sz="4" w:space="0" w:color="auto"/>
              <w:right w:val="single" w:sz="4" w:space="0" w:color="auto"/>
            </w:tcBorders>
            <w:shd w:val="clear" w:color="000000" w:fill="ADADAD"/>
            <w:vAlign w:val="bottom"/>
            <w:hideMark/>
          </w:tcPr>
          <w:p w14:paraId="5CF47AA7"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13</w:t>
            </w:r>
          </w:p>
        </w:tc>
        <w:tc>
          <w:tcPr>
            <w:tcW w:w="536" w:type="dxa"/>
            <w:tcBorders>
              <w:top w:val="nil"/>
              <w:left w:val="nil"/>
              <w:bottom w:val="single" w:sz="4" w:space="0" w:color="auto"/>
              <w:right w:val="single" w:sz="4" w:space="0" w:color="auto"/>
            </w:tcBorders>
            <w:shd w:val="clear" w:color="000000" w:fill="ADADAD"/>
            <w:vAlign w:val="bottom"/>
            <w:hideMark/>
          </w:tcPr>
          <w:p w14:paraId="2A123C53"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14</w:t>
            </w:r>
          </w:p>
        </w:tc>
        <w:tc>
          <w:tcPr>
            <w:tcW w:w="552" w:type="dxa"/>
            <w:tcBorders>
              <w:top w:val="nil"/>
              <w:left w:val="nil"/>
              <w:bottom w:val="single" w:sz="4" w:space="0" w:color="auto"/>
              <w:right w:val="single" w:sz="4" w:space="0" w:color="auto"/>
            </w:tcBorders>
            <w:shd w:val="clear" w:color="000000" w:fill="ADADAD"/>
            <w:vAlign w:val="bottom"/>
            <w:hideMark/>
          </w:tcPr>
          <w:p w14:paraId="18A105F6" w14:textId="77777777" w:rsidR="00446933" w:rsidRPr="00446933" w:rsidRDefault="00446933" w:rsidP="00446933">
            <w:pPr>
              <w:suppressAutoHyphens w:val="0"/>
              <w:spacing w:line="240" w:lineRule="auto"/>
              <w:jc w:val="center"/>
              <w:rPr>
                <w:rFonts w:ascii="Aptos Narrow" w:eastAsia="Times New Roman" w:hAnsi="Aptos Narrow" w:cs="Times New Roman"/>
                <w:b/>
                <w:bCs/>
                <w:color w:val="000000"/>
                <w:sz w:val="28"/>
                <w:szCs w:val="28"/>
                <w:lang w:val="es-ES" w:eastAsia="es-ES"/>
              </w:rPr>
            </w:pPr>
            <w:r w:rsidRPr="00446933">
              <w:rPr>
                <w:rFonts w:ascii="Aptos Narrow" w:eastAsia="Times New Roman" w:hAnsi="Aptos Narrow" w:cs="Times New Roman"/>
                <w:b/>
                <w:bCs/>
                <w:color w:val="000000"/>
                <w:sz w:val="28"/>
                <w:szCs w:val="28"/>
                <w:lang w:val="es-ES" w:eastAsia="es-ES"/>
              </w:rPr>
              <w:t>15</w:t>
            </w:r>
          </w:p>
        </w:tc>
      </w:tr>
      <w:tr w:rsidR="00446933" w:rsidRPr="00446933" w14:paraId="216446A3" w14:textId="77777777" w:rsidTr="00446933">
        <w:trPr>
          <w:gridAfter w:val="1"/>
          <w:wAfter w:w="18" w:type="dxa"/>
          <w:trHeight w:val="305"/>
        </w:trPr>
        <w:tc>
          <w:tcPr>
            <w:tcW w:w="2545" w:type="dxa"/>
            <w:tcBorders>
              <w:top w:val="nil"/>
              <w:left w:val="single" w:sz="4" w:space="0" w:color="auto"/>
              <w:bottom w:val="single" w:sz="4" w:space="0" w:color="auto"/>
              <w:right w:val="single" w:sz="4" w:space="0" w:color="auto"/>
            </w:tcBorders>
            <w:vAlign w:val="center"/>
            <w:hideMark/>
          </w:tcPr>
          <w:p w14:paraId="4930D2B4"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a.      Recolección de los datos</w:t>
            </w:r>
          </w:p>
        </w:tc>
        <w:tc>
          <w:tcPr>
            <w:tcW w:w="536" w:type="dxa"/>
            <w:tcBorders>
              <w:top w:val="nil"/>
              <w:left w:val="nil"/>
              <w:bottom w:val="single" w:sz="4" w:space="0" w:color="auto"/>
              <w:right w:val="single" w:sz="4" w:space="0" w:color="auto"/>
            </w:tcBorders>
            <w:shd w:val="clear" w:color="000000" w:fill="ADADAD"/>
            <w:vAlign w:val="bottom"/>
            <w:hideMark/>
          </w:tcPr>
          <w:p w14:paraId="71100E3E"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shd w:val="clear" w:color="000000" w:fill="ADADAD"/>
            <w:vAlign w:val="bottom"/>
            <w:hideMark/>
          </w:tcPr>
          <w:p w14:paraId="0FFF4BF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50125537"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6A5BFCF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66037AD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2E8CB3B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66D862DA"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1655357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DEFE74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57883D3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20A28B6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16CACF6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7D82715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1043CE4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144E782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41B0228D" w14:textId="77777777" w:rsidTr="00446933">
        <w:trPr>
          <w:gridAfter w:val="1"/>
          <w:wAfter w:w="18" w:type="dxa"/>
          <w:trHeight w:val="612"/>
        </w:trPr>
        <w:tc>
          <w:tcPr>
            <w:tcW w:w="2545" w:type="dxa"/>
            <w:tcBorders>
              <w:top w:val="nil"/>
              <w:left w:val="single" w:sz="4" w:space="0" w:color="auto"/>
              <w:bottom w:val="single" w:sz="4" w:space="0" w:color="auto"/>
              <w:right w:val="single" w:sz="4" w:space="0" w:color="auto"/>
            </w:tcBorders>
            <w:vAlign w:val="center"/>
            <w:hideMark/>
          </w:tcPr>
          <w:p w14:paraId="1EF6A63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b.      Almacenamiento y preparación de los datos</w:t>
            </w:r>
          </w:p>
        </w:tc>
        <w:tc>
          <w:tcPr>
            <w:tcW w:w="536" w:type="dxa"/>
            <w:tcBorders>
              <w:top w:val="nil"/>
              <w:left w:val="nil"/>
              <w:bottom w:val="single" w:sz="4" w:space="0" w:color="auto"/>
              <w:right w:val="single" w:sz="4" w:space="0" w:color="auto"/>
            </w:tcBorders>
            <w:vAlign w:val="bottom"/>
            <w:hideMark/>
          </w:tcPr>
          <w:p w14:paraId="7753855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A30248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shd w:val="clear" w:color="000000" w:fill="ADADAD"/>
            <w:vAlign w:val="bottom"/>
            <w:hideMark/>
          </w:tcPr>
          <w:p w14:paraId="03F5ACCE"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02F30DF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416A856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2E8BC83D"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438D8927"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27D37177"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75B4A2F7"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2DDCDB8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0CDEEFB6"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F9EE3E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6D99ACAB"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3B820C37"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071B69A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22DB05BD" w14:textId="77777777" w:rsidTr="00446933">
        <w:trPr>
          <w:gridAfter w:val="1"/>
          <w:wAfter w:w="18" w:type="dxa"/>
          <w:trHeight w:val="305"/>
        </w:trPr>
        <w:tc>
          <w:tcPr>
            <w:tcW w:w="2545" w:type="dxa"/>
            <w:tcBorders>
              <w:top w:val="nil"/>
              <w:left w:val="single" w:sz="4" w:space="0" w:color="auto"/>
              <w:bottom w:val="single" w:sz="4" w:space="0" w:color="auto"/>
              <w:right w:val="single" w:sz="4" w:space="0" w:color="auto"/>
            </w:tcBorders>
            <w:vAlign w:val="center"/>
            <w:hideMark/>
          </w:tcPr>
          <w:p w14:paraId="1D2A45A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 xml:space="preserve">c.      Creación del </w:t>
            </w:r>
            <w:proofErr w:type="spellStart"/>
            <w:r w:rsidRPr="00446933">
              <w:rPr>
                <w:rFonts w:ascii="Aptos Narrow" w:eastAsia="Times New Roman" w:hAnsi="Aptos Narrow" w:cs="Times New Roman"/>
                <w:color w:val="000000"/>
                <w:szCs w:val="24"/>
                <w:lang w:eastAsia="es-ES"/>
              </w:rPr>
              <w:t>Dataset</w:t>
            </w:r>
            <w:proofErr w:type="spellEnd"/>
          </w:p>
        </w:tc>
        <w:tc>
          <w:tcPr>
            <w:tcW w:w="536" w:type="dxa"/>
            <w:tcBorders>
              <w:top w:val="nil"/>
              <w:left w:val="nil"/>
              <w:bottom w:val="single" w:sz="4" w:space="0" w:color="auto"/>
              <w:right w:val="single" w:sz="4" w:space="0" w:color="auto"/>
            </w:tcBorders>
            <w:vAlign w:val="bottom"/>
            <w:hideMark/>
          </w:tcPr>
          <w:p w14:paraId="79BDF31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0724F0F7"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2F3CDB3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shd w:val="clear" w:color="000000" w:fill="ADADAD"/>
            <w:vAlign w:val="bottom"/>
            <w:hideMark/>
          </w:tcPr>
          <w:p w14:paraId="4CB2C29E"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00E107F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3FC073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06ACC8E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2DA5278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33E95FE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1B11B55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1166342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18EA9CF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7B93CA46"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6FC3E1E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48BD57B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0F459642" w14:textId="77777777" w:rsidTr="00446933">
        <w:trPr>
          <w:gridAfter w:val="1"/>
          <w:wAfter w:w="18" w:type="dxa"/>
          <w:trHeight w:val="305"/>
        </w:trPr>
        <w:tc>
          <w:tcPr>
            <w:tcW w:w="2545" w:type="dxa"/>
            <w:tcBorders>
              <w:top w:val="nil"/>
              <w:left w:val="single" w:sz="4" w:space="0" w:color="auto"/>
              <w:bottom w:val="single" w:sz="4" w:space="0" w:color="auto"/>
              <w:right w:val="single" w:sz="4" w:space="0" w:color="auto"/>
            </w:tcBorders>
            <w:vAlign w:val="center"/>
            <w:hideMark/>
          </w:tcPr>
          <w:p w14:paraId="4777D99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d.      Análisis Exploratorio</w:t>
            </w:r>
          </w:p>
        </w:tc>
        <w:tc>
          <w:tcPr>
            <w:tcW w:w="536" w:type="dxa"/>
            <w:tcBorders>
              <w:top w:val="nil"/>
              <w:left w:val="nil"/>
              <w:bottom w:val="single" w:sz="4" w:space="0" w:color="auto"/>
              <w:right w:val="single" w:sz="4" w:space="0" w:color="auto"/>
            </w:tcBorders>
            <w:vAlign w:val="bottom"/>
            <w:hideMark/>
          </w:tcPr>
          <w:p w14:paraId="5BE4071E"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5F1F4B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3E471DFA"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4955CA7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shd w:val="clear" w:color="000000" w:fill="ADADAD"/>
            <w:vAlign w:val="bottom"/>
            <w:hideMark/>
          </w:tcPr>
          <w:p w14:paraId="7B44745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shd w:val="clear" w:color="000000" w:fill="ADADAD"/>
            <w:vAlign w:val="bottom"/>
            <w:hideMark/>
          </w:tcPr>
          <w:p w14:paraId="0C2F3FC4"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0BADEAE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2A18F88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1B02583D"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43FFDACD"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4979BE9E"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E928C9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37274FF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7A34C1C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54F9D3F7"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5CE05936" w14:textId="77777777" w:rsidTr="00446933">
        <w:trPr>
          <w:gridAfter w:val="1"/>
          <w:wAfter w:w="18" w:type="dxa"/>
          <w:trHeight w:val="305"/>
        </w:trPr>
        <w:tc>
          <w:tcPr>
            <w:tcW w:w="2545" w:type="dxa"/>
            <w:tcBorders>
              <w:top w:val="nil"/>
              <w:left w:val="single" w:sz="4" w:space="0" w:color="auto"/>
              <w:bottom w:val="single" w:sz="4" w:space="0" w:color="auto"/>
              <w:right w:val="single" w:sz="4" w:space="0" w:color="auto"/>
            </w:tcBorders>
            <w:vAlign w:val="center"/>
            <w:hideMark/>
          </w:tcPr>
          <w:p w14:paraId="7BA2083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 xml:space="preserve">e.      </w:t>
            </w:r>
            <w:proofErr w:type="spellStart"/>
            <w:r w:rsidRPr="00446933">
              <w:rPr>
                <w:rFonts w:ascii="Aptos Narrow" w:eastAsia="Times New Roman" w:hAnsi="Aptos Narrow" w:cs="Times New Roman"/>
                <w:color w:val="000000"/>
                <w:szCs w:val="24"/>
                <w:lang w:eastAsia="es-ES"/>
              </w:rPr>
              <w:t>Feature</w:t>
            </w:r>
            <w:proofErr w:type="spellEnd"/>
            <w:r w:rsidRPr="00446933">
              <w:rPr>
                <w:rFonts w:ascii="Aptos Narrow" w:eastAsia="Times New Roman" w:hAnsi="Aptos Narrow" w:cs="Times New Roman"/>
                <w:color w:val="000000"/>
                <w:szCs w:val="24"/>
                <w:lang w:eastAsia="es-ES"/>
              </w:rPr>
              <w:t xml:space="preserve"> </w:t>
            </w:r>
            <w:proofErr w:type="spellStart"/>
            <w:r w:rsidRPr="00446933">
              <w:rPr>
                <w:rFonts w:ascii="Aptos Narrow" w:eastAsia="Times New Roman" w:hAnsi="Aptos Narrow" w:cs="Times New Roman"/>
                <w:color w:val="000000"/>
                <w:szCs w:val="24"/>
                <w:lang w:eastAsia="es-ES"/>
              </w:rPr>
              <w:t>Engineering</w:t>
            </w:r>
            <w:proofErr w:type="spellEnd"/>
          </w:p>
        </w:tc>
        <w:tc>
          <w:tcPr>
            <w:tcW w:w="536" w:type="dxa"/>
            <w:tcBorders>
              <w:top w:val="nil"/>
              <w:left w:val="nil"/>
              <w:bottom w:val="single" w:sz="4" w:space="0" w:color="auto"/>
              <w:right w:val="single" w:sz="4" w:space="0" w:color="auto"/>
            </w:tcBorders>
            <w:vAlign w:val="bottom"/>
            <w:hideMark/>
          </w:tcPr>
          <w:p w14:paraId="12210BB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18CAD26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37F5B2D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67DAFFFA"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579B0F2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72A15C9A"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shd w:val="clear" w:color="000000" w:fill="ADADAD"/>
            <w:vAlign w:val="bottom"/>
            <w:hideMark/>
          </w:tcPr>
          <w:p w14:paraId="336A6F7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1542005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2012FB1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13378F2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557A9C6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BD0380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5E03098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3590C8A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0E6F3F6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4197606C" w14:textId="77777777" w:rsidTr="00446933">
        <w:trPr>
          <w:gridAfter w:val="1"/>
          <w:wAfter w:w="18" w:type="dxa"/>
          <w:trHeight w:val="305"/>
        </w:trPr>
        <w:tc>
          <w:tcPr>
            <w:tcW w:w="2545" w:type="dxa"/>
            <w:tcBorders>
              <w:top w:val="nil"/>
              <w:left w:val="single" w:sz="4" w:space="0" w:color="auto"/>
              <w:bottom w:val="single" w:sz="4" w:space="0" w:color="auto"/>
              <w:right w:val="single" w:sz="4" w:space="0" w:color="auto"/>
            </w:tcBorders>
            <w:vAlign w:val="center"/>
            <w:hideMark/>
          </w:tcPr>
          <w:p w14:paraId="25CB640E"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f.      Modelado</w:t>
            </w:r>
          </w:p>
        </w:tc>
        <w:tc>
          <w:tcPr>
            <w:tcW w:w="536" w:type="dxa"/>
            <w:tcBorders>
              <w:top w:val="nil"/>
              <w:left w:val="nil"/>
              <w:bottom w:val="single" w:sz="4" w:space="0" w:color="auto"/>
              <w:right w:val="single" w:sz="4" w:space="0" w:color="auto"/>
            </w:tcBorders>
            <w:vAlign w:val="bottom"/>
            <w:hideMark/>
          </w:tcPr>
          <w:p w14:paraId="06CA351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1663A28D"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075FC3FB"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7FEE35F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7099575D"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45B976C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770DC09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shd w:val="clear" w:color="000000" w:fill="ADADAD"/>
            <w:vAlign w:val="bottom"/>
            <w:hideMark/>
          </w:tcPr>
          <w:p w14:paraId="65A1A7E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shd w:val="clear" w:color="000000" w:fill="ADADAD"/>
            <w:vAlign w:val="bottom"/>
            <w:hideMark/>
          </w:tcPr>
          <w:p w14:paraId="05B36DB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shd w:val="clear" w:color="000000" w:fill="ADADAD"/>
            <w:vAlign w:val="bottom"/>
            <w:hideMark/>
          </w:tcPr>
          <w:p w14:paraId="4F83BCD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0BEFB3D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05D3C42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28190614"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630AF50C"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3667A7A6"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0142195F" w14:textId="77777777" w:rsidTr="00446933">
        <w:trPr>
          <w:gridAfter w:val="1"/>
          <w:wAfter w:w="18" w:type="dxa"/>
          <w:trHeight w:val="305"/>
        </w:trPr>
        <w:tc>
          <w:tcPr>
            <w:tcW w:w="2545" w:type="dxa"/>
            <w:tcBorders>
              <w:top w:val="nil"/>
              <w:left w:val="single" w:sz="4" w:space="0" w:color="auto"/>
              <w:bottom w:val="single" w:sz="4" w:space="0" w:color="auto"/>
              <w:right w:val="single" w:sz="4" w:space="0" w:color="auto"/>
            </w:tcBorders>
            <w:vAlign w:val="center"/>
            <w:hideMark/>
          </w:tcPr>
          <w:p w14:paraId="675AF64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 xml:space="preserve">g.      </w:t>
            </w:r>
            <w:proofErr w:type="spellStart"/>
            <w:r w:rsidRPr="00446933">
              <w:rPr>
                <w:rFonts w:ascii="Aptos Narrow" w:eastAsia="Times New Roman" w:hAnsi="Aptos Narrow" w:cs="Times New Roman"/>
                <w:color w:val="000000"/>
                <w:szCs w:val="24"/>
                <w:lang w:eastAsia="es-ES"/>
              </w:rPr>
              <w:t>Explicabilidad</w:t>
            </w:r>
            <w:proofErr w:type="spellEnd"/>
            <w:r w:rsidRPr="00446933">
              <w:rPr>
                <w:rFonts w:ascii="Aptos Narrow" w:eastAsia="Times New Roman" w:hAnsi="Aptos Narrow" w:cs="Times New Roman"/>
                <w:color w:val="000000"/>
                <w:szCs w:val="24"/>
                <w:lang w:eastAsia="es-ES"/>
              </w:rPr>
              <w:t xml:space="preserve"> del Modelo</w:t>
            </w:r>
          </w:p>
        </w:tc>
        <w:tc>
          <w:tcPr>
            <w:tcW w:w="536" w:type="dxa"/>
            <w:tcBorders>
              <w:top w:val="nil"/>
              <w:left w:val="nil"/>
              <w:bottom w:val="single" w:sz="4" w:space="0" w:color="auto"/>
              <w:right w:val="single" w:sz="4" w:space="0" w:color="auto"/>
            </w:tcBorders>
            <w:vAlign w:val="bottom"/>
            <w:hideMark/>
          </w:tcPr>
          <w:p w14:paraId="27A638D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2EDE608D"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242AC4A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17C74D2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53E7AF2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7A36564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11990B6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37585DCB"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412FEA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77BF1DB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shd w:val="clear" w:color="000000" w:fill="ADADAD"/>
            <w:vAlign w:val="bottom"/>
            <w:hideMark/>
          </w:tcPr>
          <w:p w14:paraId="79E3A3EF"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2D14F95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18AE5FA4"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7497D2AB"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7F79DDE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2187DB84" w14:textId="77777777" w:rsidTr="00446933">
        <w:trPr>
          <w:gridAfter w:val="1"/>
          <w:wAfter w:w="18" w:type="dxa"/>
          <w:trHeight w:val="612"/>
        </w:trPr>
        <w:tc>
          <w:tcPr>
            <w:tcW w:w="2545" w:type="dxa"/>
            <w:tcBorders>
              <w:top w:val="nil"/>
              <w:left w:val="single" w:sz="4" w:space="0" w:color="auto"/>
              <w:bottom w:val="single" w:sz="4" w:space="0" w:color="auto"/>
              <w:right w:val="single" w:sz="4" w:space="0" w:color="auto"/>
            </w:tcBorders>
            <w:vAlign w:val="center"/>
            <w:hideMark/>
          </w:tcPr>
          <w:p w14:paraId="5FD4052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eastAsia="es-ES"/>
              </w:rPr>
              <w:t xml:space="preserve">h.      </w:t>
            </w:r>
            <w:proofErr w:type="spellStart"/>
            <w:r w:rsidRPr="00446933">
              <w:rPr>
                <w:rFonts w:ascii="Aptos Narrow" w:eastAsia="Times New Roman" w:hAnsi="Aptos Narrow" w:cs="Times New Roman"/>
                <w:color w:val="000000"/>
                <w:szCs w:val="24"/>
                <w:lang w:eastAsia="es-ES"/>
              </w:rPr>
              <w:t>Calibracion</w:t>
            </w:r>
            <w:proofErr w:type="spellEnd"/>
            <w:r w:rsidRPr="00446933">
              <w:rPr>
                <w:rFonts w:ascii="Aptos Narrow" w:eastAsia="Times New Roman" w:hAnsi="Aptos Narrow" w:cs="Times New Roman"/>
                <w:color w:val="000000"/>
                <w:szCs w:val="24"/>
                <w:lang w:eastAsia="es-ES"/>
              </w:rPr>
              <w:t xml:space="preserve"> </w:t>
            </w:r>
            <w:proofErr w:type="spellStart"/>
            <w:r w:rsidRPr="00446933">
              <w:rPr>
                <w:rFonts w:ascii="Aptos Narrow" w:eastAsia="Times New Roman" w:hAnsi="Aptos Narrow" w:cs="Times New Roman"/>
                <w:color w:val="000000"/>
                <w:szCs w:val="24"/>
                <w:lang w:eastAsia="es-ES"/>
              </w:rPr>
              <w:t>PiT</w:t>
            </w:r>
            <w:proofErr w:type="spellEnd"/>
            <w:r w:rsidRPr="00446933">
              <w:rPr>
                <w:rFonts w:ascii="Aptos Narrow" w:eastAsia="Times New Roman" w:hAnsi="Aptos Narrow" w:cs="Times New Roman"/>
                <w:color w:val="000000"/>
                <w:szCs w:val="24"/>
                <w:lang w:eastAsia="es-ES"/>
              </w:rPr>
              <w:t xml:space="preserve">-TTC y </w:t>
            </w:r>
            <w:proofErr w:type="spellStart"/>
            <w:r w:rsidRPr="00446933">
              <w:rPr>
                <w:rFonts w:ascii="Aptos Narrow" w:eastAsia="Times New Roman" w:hAnsi="Aptos Narrow" w:cs="Times New Roman"/>
                <w:color w:val="000000"/>
                <w:szCs w:val="24"/>
                <w:lang w:eastAsia="es-ES"/>
              </w:rPr>
              <w:t>validacion</w:t>
            </w:r>
            <w:proofErr w:type="spellEnd"/>
          </w:p>
        </w:tc>
        <w:tc>
          <w:tcPr>
            <w:tcW w:w="536" w:type="dxa"/>
            <w:tcBorders>
              <w:top w:val="nil"/>
              <w:left w:val="nil"/>
              <w:bottom w:val="single" w:sz="4" w:space="0" w:color="auto"/>
              <w:right w:val="single" w:sz="4" w:space="0" w:color="auto"/>
            </w:tcBorders>
            <w:vAlign w:val="bottom"/>
            <w:hideMark/>
          </w:tcPr>
          <w:p w14:paraId="63D5EF5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214B1FC4"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5A0E692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75E5244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72ACD41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6B504CCA"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029EDFA4"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23F64C9A"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3AE5885D"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12AD2F2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18F6BD1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shd w:val="clear" w:color="000000" w:fill="ADADAD"/>
            <w:vAlign w:val="bottom"/>
            <w:hideMark/>
          </w:tcPr>
          <w:p w14:paraId="4CBFFD1B"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shd w:val="clear" w:color="000000" w:fill="ADADAD"/>
            <w:vAlign w:val="bottom"/>
            <w:hideMark/>
          </w:tcPr>
          <w:p w14:paraId="7C5DDD0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37F56F26"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vAlign w:val="bottom"/>
            <w:hideMark/>
          </w:tcPr>
          <w:p w14:paraId="5DB5C65E"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r w:rsidR="00446933" w:rsidRPr="00446933" w14:paraId="093D4DB3" w14:textId="77777777" w:rsidTr="00446933">
        <w:trPr>
          <w:gridAfter w:val="1"/>
          <w:wAfter w:w="18" w:type="dxa"/>
          <w:trHeight w:val="612"/>
        </w:trPr>
        <w:tc>
          <w:tcPr>
            <w:tcW w:w="2545" w:type="dxa"/>
            <w:tcBorders>
              <w:top w:val="nil"/>
              <w:left w:val="single" w:sz="4" w:space="0" w:color="auto"/>
              <w:bottom w:val="single" w:sz="4" w:space="0" w:color="auto"/>
              <w:right w:val="single" w:sz="4" w:space="0" w:color="auto"/>
            </w:tcBorders>
            <w:vAlign w:val="center"/>
            <w:hideMark/>
          </w:tcPr>
          <w:p w14:paraId="73FD28D9"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Cs w:val="24"/>
                <w:lang w:val="es-ES" w:eastAsia="es-ES"/>
              </w:rPr>
            </w:pPr>
            <w:r w:rsidRPr="00446933">
              <w:rPr>
                <w:rFonts w:ascii="Aptos Narrow" w:eastAsia="Times New Roman" w:hAnsi="Aptos Narrow" w:cs="Times New Roman"/>
                <w:color w:val="000000"/>
                <w:szCs w:val="24"/>
                <w:lang w:val="es-ES" w:eastAsia="es-ES"/>
              </w:rPr>
              <w:t xml:space="preserve">i.      </w:t>
            </w:r>
            <w:proofErr w:type="spellStart"/>
            <w:r w:rsidRPr="00446933">
              <w:rPr>
                <w:rFonts w:ascii="Aptos Narrow" w:eastAsia="Times New Roman" w:hAnsi="Aptos Narrow" w:cs="Times New Roman"/>
                <w:color w:val="000000"/>
                <w:szCs w:val="24"/>
                <w:lang w:val="es-ES" w:eastAsia="es-ES"/>
              </w:rPr>
              <w:t>Analisis</w:t>
            </w:r>
            <w:proofErr w:type="spellEnd"/>
            <w:r w:rsidRPr="00446933">
              <w:rPr>
                <w:rFonts w:ascii="Aptos Narrow" w:eastAsia="Times New Roman" w:hAnsi="Aptos Narrow" w:cs="Times New Roman"/>
                <w:color w:val="000000"/>
                <w:szCs w:val="24"/>
                <w:lang w:val="es-ES" w:eastAsia="es-ES"/>
              </w:rPr>
              <w:t xml:space="preserve"> de resultados y conclusiones</w:t>
            </w:r>
          </w:p>
        </w:tc>
        <w:tc>
          <w:tcPr>
            <w:tcW w:w="536" w:type="dxa"/>
            <w:tcBorders>
              <w:top w:val="nil"/>
              <w:left w:val="nil"/>
              <w:bottom w:val="single" w:sz="4" w:space="0" w:color="auto"/>
              <w:right w:val="single" w:sz="4" w:space="0" w:color="auto"/>
            </w:tcBorders>
            <w:vAlign w:val="bottom"/>
            <w:hideMark/>
          </w:tcPr>
          <w:p w14:paraId="5214FB2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09F2E2DB"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45F5921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21" w:type="dxa"/>
            <w:tcBorders>
              <w:top w:val="nil"/>
              <w:left w:val="nil"/>
              <w:bottom w:val="single" w:sz="4" w:space="0" w:color="auto"/>
              <w:right w:val="single" w:sz="4" w:space="0" w:color="auto"/>
            </w:tcBorders>
            <w:vAlign w:val="bottom"/>
            <w:hideMark/>
          </w:tcPr>
          <w:p w14:paraId="78F1A45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693980DA"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5E112BB2"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53C6393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768D9585"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30AE056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vAlign w:val="bottom"/>
            <w:hideMark/>
          </w:tcPr>
          <w:p w14:paraId="1F12247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89" w:type="dxa"/>
            <w:tcBorders>
              <w:top w:val="nil"/>
              <w:left w:val="nil"/>
              <w:bottom w:val="single" w:sz="4" w:space="0" w:color="auto"/>
              <w:right w:val="single" w:sz="4" w:space="0" w:color="auto"/>
            </w:tcBorders>
            <w:vAlign w:val="bottom"/>
            <w:hideMark/>
          </w:tcPr>
          <w:p w14:paraId="160D1610"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05" w:type="dxa"/>
            <w:tcBorders>
              <w:top w:val="nil"/>
              <w:left w:val="nil"/>
              <w:bottom w:val="single" w:sz="4" w:space="0" w:color="auto"/>
              <w:right w:val="single" w:sz="4" w:space="0" w:color="auto"/>
            </w:tcBorders>
            <w:vAlign w:val="bottom"/>
            <w:hideMark/>
          </w:tcPr>
          <w:p w14:paraId="0F1425D4"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442" w:type="dxa"/>
            <w:tcBorders>
              <w:top w:val="nil"/>
              <w:left w:val="nil"/>
              <w:bottom w:val="single" w:sz="4" w:space="0" w:color="auto"/>
              <w:right w:val="single" w:sz="4" w:space="0" w:color="auto"/>
            </w:tcBorders>
            <w:vAlign w:val="bottom"/>
            <w:hideMark/>
          </w:tcPr>
          <w:p w14:paraId="12FBEA78"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36" w:type="dxa"/>
            <w:tcBorders>
              <w:top w:val="nil"/>
              <w:left w:val="nil"/>
              <w:bottom w:val="single" w:sz="4" w:space="0" w:color="auto"/>
              <w:right w:val="single" w:sz="4" w:space="0" w:color="auto"/>
            </w:tcBorders>
            <w:shd w:val="clear" w:color="000000" w:fill="ADADAD"/>
            <w:vAlign w:val="bottom"/>
            <w:hideMark/>
          </w:tcPr>
          <w:p w14:paraId="655EB6C3"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c>
          <w:tcPr>
            <w:tcW w:w="552" w:type="dxa"/>
            <w:tcBorders>
              <w:top w:val="nil"/>
              <w:left w:val="nil"/>
              <w:bottom w:val="single" w:sz="4" w:space="0" w:color="auto"/>
              <w:right w:val="single" w:sz="4" w:space="0" w:color="auto"/>
            </w:tcBorders>
            <w:shd w:val="clear" w:color="000000" w:fill="ADADAD"/>
            <w:vAlign w:val="bottom"/>
            <w:hideMark/>
          </w:tcPr>
          <w:p w14:paraId="7D964761" w14:textId="77777777" w:rsidR="00446933" w:rsidRPr="00446933" w:rsidRDefault="00446933" w:rsidP="00446933">
            <w:pPr>
              <w:suppressAutoHyphens w:val="0"/>
              <w:spacing w:line="240" w:lineRule="auto"/>
              <w:jc w:val="left"/>
              <w:rPr>
                <w:rFonts w:ascii="Aptos Narrow" w:eastAsia="Times New Roman" w:hAnsi="Aptos Narrow" w:cs="Times New Roman"/>
                <w:color w:val="000000"/>
                <w:sz w:val="22"/>
                <w:szCs w:val="22"/>
                <w:lang w:val="es-ES" w:eastAsia="es-ES"/>
              </w:rPr>
            </w:pPr>
            <w:r w:rsidRPr="00446933">
              <w:rPr>
                <w:rFonts w:ascii="Aptos Narrow" w:eastAsia="Times New Roman" w:hAnsi="Aptos Narrow" w:cs="Times New Roman"/>
                <w:color w:val="000000"/>
                <w:sz w:val="22"/>
                <w:szCs w:val="22"/>
                <w:lang w:val="es-ES" w:eastAsia="es-ES"/>
              </w:rPr>
              <w:t> </w:t>
            </w:r>
          </w:p>
        </w:tc>
      </w:tr>
    </w:tbl>
    <w:p w14:paraId="1D0485CF" w14:textId="27CADDBA" w:rsidR="00813946" w:rsidRPr="00446933" w:rsidRDefault="00813946" w:rsidP="00D71542">
      <w:pPr>
        <w:spacing w:after="160" w:line="259" w:lineRule="auto"/>
        <w:rPr>
          <w:rFonts w:cs="Times New Roman"/>
          <w:szCs w:val="24"/>
          <w:lang w:val="es-ES"/>
        </w:rPr>
      </w:pPr>
    </w:p>
    <w:p w14:paraId="76C0F9EA" w14:textId="2A2D9ACD" w:rsidR="00813946" w:rsidRPr="00446933" w:rsidRDefault="00813946" w:rsidP="00BE3006">
      <w:pPr>
        <w:rPr>
          <w:rFonts w:eastAsiaTheme="majorEastAsia" w:cs="Times New Roman"/>
          <w:color w:val="2F5496" w:themeColor="accent1" w:themeShade="BF"/>
          <w:szCs w:val="24"/>
          <w:lang w:val="es-ES"/>
        </w:rPr>
      </w:pPr>
    </w:p>
    <w:bookmarkStart w:id="8" w:name="_Toc168252291" w:displacedByCustomXml="next"/>
    <w:sdt>
      <w:sdtPr>
        <w:rPr>
          <w:rFonts w:eastAsia="Calibri" w:cs="Arial"/>
          <w:color w:val="auto"/>
          <w:szCs w:val="20"/>
        </w:rPr>
        <w:id w:val="-1186746409"/>
        <w:docPartObj>
          <w:docPartGallery w:val="Bibliographies"/>
          <w:docPartUnique/>
        </w:docPartObj>
      </w:sdtPr>
      <w:sdtContent>
        <w:p w14:paraId="1696147B" w14:textId="77777777" w:rsidR="00BB51C9" w:rsidRDefault="00BB51C9" w:rsidP="00BB51C9">
          <w:pPr>
            <w:pStyle w:val="Ttulo1"/>
          </w:pPr>
          <w:r w:rsidRPr="00BE3006">
            <w:t>Bibliografía</w:t>
          </w:r>
        </w:p>
        <w:p w14:paraId="222EFF68" w14:textId="77777777" w:rsidR="00C86CEA" w:rsidRPr="00CB249E" w:rsidRDefault="00C86CEA" w:rsidP="00C86CEA">
          <w:pPr>
            <w:rPr>
              <w:lang w:val="en-US"/>
            </w:rPr>
          </w:pPr>
          <w:r w:rsidRPr="00CB249E">
            <w:rPr>
              <w:lang w:val="en-US"/>
            </w:rPr>
            <w:t>[1] Basel Committee on Banking Supervision (2023). Principles for the Effective Management of Credit Risk.</w:t>
          </w:r>
        </w:p>
        <w:p w14:paraId="00090B6E" w14:textId="77777777" w:rsidR="00C86CEA" w:rsidRPr="00CB249E" w:rsidRDefault="00C86CEA" w:rsidP="00C86CEA">
          <w:pPr>
            <w:rPr>
              <w:lang w:val="en-US"/>
            </w:rPr>
          </w:pPr>
          <w:r w:rsidRPr="00CB249E">
            <w:rPr>
              <w:lang w:val="en-US"/>
            </w:rPr>
            <w:t>[2] IFRS Foundation (2018). IFRS 9: Financial Instruments – Implementation Guidance.</w:t>
          </w:r>
        </w:p>
        <w:p w14:paraId="76083BD9" w14:textId="77777777" w:rsidR="00C86CEA" w:rsidRPr="00CB249E" w:rsidRDefault="00C86CEA" w:rsidP="00C86CEA">
          <w:pPr>
            <w:rPr>
              <w:lang w:val="en-US"/>
            </w:rPr>
          </w:pPr>
          <w:r w:rsidRPr="00CB249E">
            <w:rPr>
              <w:lang w:val="en-US"/>
            </w:rPr>
            <w:t>[3] European Banking Authority (2022). Guidelines on PD estimation, LGD, and treatment of defaulted exposures.</w:t>
          </w:r>
        </w:p>
        <w:p w14:paraId="34ECD936" w14:textId="77777777" w:rsidR="00C86CEA" w:rsidRPr="00CB249E" w:rsidRDefault="00C86CEA" w:rsidP="00C86CEA">
          <w:pPr>
            <w:rPr>
              <w:lang w:val="en-US"/>
            </w:rPr>
          </w:pPr>
          <w:r w:rsidRPr="00CB249E">
            <w:rPr>
              <w:lang w:val="en-US"/>
            </w:rPr>
            <w:t>[4] Thomas, L., Edelman, D., &amp; Crook, J. (2017). Credit Scoring and Its Applications (2nd Ed.).</w:t>
          </w:r>
        </w:p>
        <w:p w14:paraId="7D55CAF3" w14:textId="77777777" w:rsidR="00C86CEA" w:rsidRPr="00CB249E" w:rsidRDefault="00C86CEA" w:rsidP="00C86CEA">
          <w:pPr>
            <w:rPr>
              <w:lang w:val="en-US"/>
            </w:rPr>
          </w:pPr>
          <w:r w:rsidRPr="00CB249E">
            <w:rPr>
              <w:lang w:val="en-US"/>
            </w:rPr>
            <w:t xml:space="preserve">[5] Lessmann, S., </w:t>
          </w:r>
          <w:proofErr w:type="spellStart"/>
          <w:r w:rsidRPr="00CB249E">
            <w:rPr>
              <w:lang w:val="en-US"/>
            </w:rPr>
            <w:t>Baesens</w:t>
          </w:r>
          <w:proofErr w:type="spellEnd"/>
          <w:r w:rsidRPr="00CB249E">
            <w:rPr>
              <w:lang w:val="en-US"/>
            </w:rPr>
            <w:t>, B., Seow, H., &amp; Thomas, L. (2015). Benchmarking State-of-the-Art Classification Algorithms for Credit Scoring.</w:t>
          </w:r>
        </w:p>
        <w:p w14:paraId="5F57C06A" w14:textId="77777777" w:rsidR="00C86CEA" w:rsidRPr="00CB249E" w:rsidRDefault="00C86CEA" w:rsidP="00C86CEA">
          <w:pPr>
            <w:rPr>
              <w:lang w:val="en-US"/>
            </w:rPr>
          </w:pPr>
          <w:r w:rsidRPr="00CB249E">
            <w:rPr>
              <w:lang w:val="en-US"/>
            </w:rPr>
            <w:t>[6] European Central Bank (2021). Good Practices for Model Validation and Explainability in IFRS 9.</w:t>
          </w:r>
        </w:p>
        <w:p w14:paraId="447D9154" w14:textId="77777777" w:rsidR="00C86CEA" w:rsidRPr="00CB249E" w:rsidRDefault="00C86CEA" w:rsidP="00C86CEA">
          <w:pPr>
            <w:rPr>
              <w:lang w:val="en-US"/>
            </w:rPr>
          </w:pPr>
          <w:r w:rsidRPr="00CB249E">
            <w:rPr>
              <w:lang w:val="en-US"/>
            </w:rPr>
            <w:t xml:space="preserve">[7] Freddie Mac (2024). Single-Family Loan-Level Dataset User </w:t>
          </w:r>
          <w:proofErr w:type="spellStart"/>
          <w:r w:rsidRPr="00CB249E">
            <w:rPr>
              <w:lang w:val="en-US"/>
            </w:rPr>
            <w:t>Guide.C</w:t>
          </w:r>
          <w:proofErr w:type="spellEnd"/>
          <w:r w:rsidRPr="00CB249E">
            <w:rPr>
              <w:lang w:val="en-US"/>
            </w:rPr>
            <w:t xml:space="preserve">. </w:t>
          </w:r>
          <w:proofErr w:type="spellStart"/>
          <w:r w:rsidRPr="00CB249E">
            <w:rPr>
              <w:lang w:val="en-US"/>
            </w:rPr>
            <w:t>Makanyeza</w:t>
          </w:r>
          <w:proofErr w:type="spellEnd"/>
          <w:r w:rsidRPr="00CB249E">
            <w:rPr>
              <w:lang w:val="en-US"/>
            </w:rPr>
            <w:t xml:space="preserve">, D. </w:t>
          </w:r>
          <w:proofErr w:type="spellStart"/>
          <w:proofErr w:type="gramStart"/>
          <w:r w:rsidRPr="00CB249E">
            <w:rPr>
              <w:lang w:val="en-US"/>
            </w:rPr>
            <w:t>Mumiriki</w:t>
          </w:r>
          <w:proofErr w:type="spellEnd"/>
          <w:r w:rsidRPr="00CB249E">
            <w:rPr>
              <w:lang w:val="en-US"/>
            </w:rPr>
            <w:t>, ‘</w:t>
          </w:r>
          <w:proofErr w:type="gramEnd"/>
          <w:r w:rsidRPr="00CB249E">
            <w:rPr>
              <w:lang w:val="en-US"/>
            </w:rPr>
            <w:t xml:space="preserve">Are all customers really the same? Comparing service quality and satisfaction between residential and business telecommunication customers’, Acta </w:t>
          </w:r>
          <w:proofErr w:type="spellStart"/>
          <w:r w:rsidRPr="00CB249E">
            <w:rPr>
              <w:lang w:val="en-US"/>
            </w:rPr>
            <w:t>Commercii</w:t>
          </w:r>
          <w:proofErr w:type="spellEnd"/>
          <w:r w:rsidRPr="00CB249E">
            <w:rPr>
              <w:lang w:val="en-US"/>
            </w:rPr>
            <w:t xml:space="preserve"> 16(1), a348. </w:t>
          </w:r>
          <w:hyperlink r:id="rId7" w:tgtFrame="_blank" w:history="1">
            <w:r w:rsidRPr="00CB249E">
              <w:rPr>
                <w:rStyle w:val="Hipervnculo"/>
                <w:lang w:val="en-US"/>
              </w:rPr>
              <w:t>http://dx.doi</w:t>
            </w:r>
          </w:hyperlink>
          <w:r w:rsidRPr="00CB249E">
            <w:rPr>
              <w:lang w:val="en-US"/>
            </w:rPr>
            <w:t>. org/10.4102/</w:t>
          </w:r>
          <w:proofErr w:type="gramStart"/>
          <w:r w:rsidRPr="00CB249E">
            <w:rPr>
              <w:lang w:val="en-US"/>
            </w:rPr>
            <w:t>ac.v</w:t>
          </w:r>
          <w:proofErr w:type="gramEnd"/>
          <w:r w:rsidRPr="00CB249E">
            <w:rPr>
              <w:lang w:val="en-US"/>
            </w:rPr>
            <w:t>16i1.348, 2016.</w:t>
          </w:r>
        </w:p>
        <w:p w14:paraId="203D0FCB" w14:textId="77777777" w:rsidR="00C86CEA" w:rsidRPr="00CB249E" w:rsidRDefault="00C86CEA" w:rsidP="00C86CEA">
          <w:pPr>
            <w:rPr>
              <w:lang w:val="en-US"/>
            </w:rPr>
          </w:pPr>
          <w:r w:rsidRPr="00CB249E">
            <w:rPr>
              <w:lang w:val="en-US"/>
            </w:rPr>
            <w:t xml:space="preserve">[8] </w:t>
          </w:r>
          <w:proofErr w:type="spellStart"/>
          <w:r w:rsidRPr="00CB249E">
            <w:rPr>
              <w:lang w:val="en-US"/>
            </w:rPr>
            <w:t>Breiman</w:t>
          </w:r>
          <w:proofErr w:type="spellEnd"/>
          <w:r w:rsidRPr="00CB249E">
            <w:rPr>
              <w:lang w:val="en-US"/>
            </w:rPr>
            <w:t>, L. (2001). "Random Forests". Machine Learning, 45(1), 5-32.</w:t>
          </w:r>
        </w:p>
        <w:p w14:paraId="6193B523" w14:textId="77777777" w:rsidR="00C86CEA" w:rsidRPr="00CB249E" w:rsidRDefault="00C86CEA" w:rsidP="00C86CEA">
          <w:pPr>
            <w:rPr>
              <w:lang w:val="en-US"/>
            </w:rPr>
          </w:pPr>
          <w:r w:rsidRPr="00CB249E">
            <w:rPr>
              <w:lang w:val="en-US"/>
            </w:rPr>
            <w:t xml:space="preserve">[9] Chen, T., &amp; </w:t>
          </w:r>
          <w:proofErr w:type="spellStart"/>
          <w:r w:rsidRPr="00CB249E">
            <w:rPr>
              <w:lang w:val="en-US"/>
            </w:rPr>
            <w:t>Guestrin</w:t>
          </w:r>
          <w:proofErr w:type="spellEnd"/>
          <w:r w:rsidRPr="00CB249E">
            <w:rPr>
              <w:lang w:val="en-US"/>
            </w:rPr>
            <w:t>, C. (2016). "</w:t>
          </w:r>
          <w:proofErr w:type="spellStart"/>
          <w:r w:rsidRPr="00CB249E">
            <w:rPr>
              <w:lang w:val="en-US"/>
            </w:rPr>
            <w:t>XGBoost</w:t>
          </w:r>
          <w:proofErr w:type="spellEnd"/>
          <w:r w:rsidRPr="00CB249E">
            <w:rPr>
              <w:lang w:val="en-US"/>
            </w:rPr>
            <w:t>: A Scalable Tree Boosting System". Proceedings of the 22nd ACM SIGKDD International Conference on Knowledge Discovery and Data Mining.</w:t>
          </w:r>
        </w:p>
        <w:p w14:paraId="7A98EA1C" w14:textId="77777777" w:rsidR="00C86CEA" w:rsidRPr="00CB249E" w:rsidRDefault="00C86CEA" w:rsidP="00C86CEA">
          <w:pPr>
            <w:rPr>
              <w:lang w:val="en-US"/>
            </w:rPr>
          </w:pPr>
          <w:r w:rsidRPr="00CB249E">
            <w:rPr>
              <w:lang w:val="en-US"/>
            </w:rPr>
            <w:t>[10] Ke, G., Meng, Q., Finley, T., et al. (2017). "</w:t>
          </w:r>
          <w:proofErr w:type="spellStart"/>
          <w:r w:rsidRPr="00CB249E">
            <w:rPr>
              <w:lang w:val="en-US"/>
            </w:rPr>
            <w:t>LightGBM</w:t>
          </w:r>
          <w:proofErr w:type="spellEnd"/>
          <w:r w:rsidRPr="00CB249E">
            <w:rPr>
              <w:lang w:val="en-US"/>
            </w:rPr>
            <w:t>: A Highly Efficient Gradient Boosting Decision Tree". Advances in Neural Information Processing Systems (NIPS).</w:t>
          </w:r>
        </w:p>
        <w:p w14:paraId="575A31AD" w14:textId="77777777" w:rsidR="00C86CEA" w:rsidRPr="00CB249E" w:rsidRDefault="00C86CEA" w:rsidP="00C86CEA">
          <w:pPr>
            <w:rPr>
              <w:lang w:val="es-ES"/>
            </w:rPr>
          </w:pPr>
          <w:r w:rsidRPr="00CB249E">
            <w:rPr>
              <w:lang w:val="en-US"/>
            </w:rPr>
            <w:t xml:space="preserve">[11] Friedman, J. H. (2001). "Greedy function approximation: A gradient boosting machine". </w:t>
          </w:r>
          <w:proofErr w:type="spellStart"/>
          <w:r w:rsidRPr="00CB249E">
            <w:rPr>
              <w:lang w:val="es-ES"/>
            </w:rPr>
            <w:t>Annals</w:t>
          </w:r>
          <w:proofErr w:type="spellEnd"/>
          <w:r w:rsidRPr="00CB249E">
            <w:rPr>
              <w:lang w:val="es-ES"/>
            </w:rPr>
            <w:t xml:space="preserve"> </w:t>
          </w:r>
          <w:proofErr w:type="spellStart"/>
          <w:r w:rsidRPr="00CB249E">
            <w:rPr>
              <w:lang w:val="es-ES"/>
            </w:rPr>
            <w:t>of</w:t>
          </w:r>
          <w:proofErr w:type="spellEnd"/>
          <w:r w:rsidRPr="00CB249E">
            <w:rPr>
              <w:lang w:val="es-ES"/>
            </w:rPr>
            <w:t xml:space="preserve"> </w:t>
          </w:r>
          <w:proofErr w:type="spellStart"/>
          <w:r w:rsidRPr="00CB249E">
            <w:rPr>
              <w:lang w:val="es-ES"/>
            </w:rPr>
            <w:t>Statistics</w:t>
          </w:r>
          <w:proofErr w:type="spellEnd"/>
          <w:r w:rsidRPr="00CB249E">
            <w:rPr>
              <w:lang w:val="es-ES"/>
            </w:rPr>
            <w:t>, 1189-1232.</w:t>
          </w:r>
        </w:p>
        <w:p w14:paraId="3A309D47" w14:textId="77777777" w:rsidR="00C86CEA" w:rsidRPr="00CB249E" w:rsidRDefault="00C86CEA" w:rsidP="00C86CEA">
          <w:pPr>
            <w:rPr>
              <w:lang w:val="es-ES"/>
            </w:rPr>
          </w:pPr>
          <w:r w:rsidRPr="00CB249E">
            <w:rPr>
              <w:lang w:val="es-ES"/>
            </w:rPr>
            <w:t>[12] Banco Central de la República Argentina (2024). Comunicación "A" 6847 y modificatorias: Previsiones Mínimas por Riesgo de Incobrabilidad – Normas NIIF.</w:t>
          </w:r>
        </w:p>
        <w:p w14:paraId="760E880D" w14:textId="77777777" w:rsidR="00C86CEA" w:rsidRPr="00CB249E" w:rsidRDefault="00C86CEA" w:rsidP="00C86CEA">
          <w:pPr>
            <w:rPr>
              <w:lang w:val="es-ES"/>
            </w:rPr>
          </w:pPr>
          <w:r w:rsidRPr="00CB249E">
            <w:rPr>
              <w:lang w:val="es-ES"/>
            </w:rPr>
            <w:t xml:space="preserve">[13] Freire López, J. (2021). Modelo de Clasificación de Riesgo Crediticio Utilizando </w:t>
          </w:r>
          <w:proofErr w:type="spellStart"/>
          <w:r w:rsidRPr="00CB249E">
            <w:rPr>
              <w:lang w:val="es-ES"/>
            </w:rPr>
            <w:t>Random</w:t>
          </w:r>
          <w:proofErr w:type="spellEnd"/>
          <w:r w:rsidRPr="00CB249E">
            <w:rPr>
              <w:lang w:val="es-ES"/>
            </w:rPr>
            <w:t xml:space="preserve"> Forest en financiera del Ecuador. Tesis de Maestría, Universidad Internacional SEK.</w:t>
          </w:r>
        </w:p>
        <w:p w14:paraId="26866411" w14:textId="77777777" w:rsidR="00C86CEA" w:rsidRPr="00CB249E" w:rsidRDefault="00C86CEA" w:rsidP="00C86CEA">
          <w:pPr>
            <w:rPr>
              <w:lang w:val="en-US"/>
            </w:rPr>
          </w:pPr>
          <w:r w:rsidRPr="00CB249E">
            <w:rPr>
              <w:lang w:val="es-ES"/>
            </w:rPr>
            <w:t xml:space="preserve">[14] </w:t>
          </w:r>
          <w:proofErr w:type="spellStart"/>
          <w:r w:rsidRPr="00CB249E">
            <w:rPr>
              <w:lang w:val="es-ES"/>
            </w:rPr>
            <w:t>Ghent</w:t>
          </w:r>
          <w:proofErr w:type="spellEnd"/>
          <w:r w:rsidRPr="00CB249E">
            <w:rPr>
              <w:lang w:val="es-ES"/>
            </w:rPr>
            <w:t xml:space="preserve">, A. C., &amp; </w:t>
          </w:r>
          <w:proofErr w:type="spellStart"/>
          <w:r w:rsidRPr="00CB249E">
            <w:rPr>
              <w:lang w:val="es-ES"/>
            </w:rPr>
            <w:t>Kudlyak</w:t>
          </w:r>
          <w:proofErr w:type="spellEnd"/>
          <w:r w:rsidRPr="00CB249E">
            <w:rPr>
              <w:lang w:val="es-ES"/>
            </w:rPr>
            <w:t xml:space="preserve">, M. (2011). </w:t>
          </w:r>
          <w:r w:rsidRPr="00CB249E">
            <w:rPr>
              <w:lang w:val="en-US"/>
            </w:rPr>
            <w:t>"Recourse and Residential Mortgage Default: Evidence from US States". The Review of Financial Studies, 24(9), 3139–3186.</w:t>
          </w:r>
        </w:p>
        <w:p w14:paraId="0CB9B812" w14:textId="77777777" w:rsidR="00C86CEA" w:rsidRPr="00CB249E" w:rsidRDefault="00C86CEA" w:rsidP="00C86CEA">
          <w:pPr>
            <w:rPr>
              <w:lang w:val="en-US"/>
            </w:rPr>
          </w:pPr>
          <w:r w:rsidRPr="00CB249E">
            <w:rPr>
              <w:lang w:val="en-US"/>
            </w:rPr>
            <w:lastRenderedPageBreak/>
            <w:t xml:space="preserve">[15] Elul, R., </w:t>
          </w:r>
          <w:proofErr w:type="spellStart"/>
          <w:r w:rsidRPr="00CB249E">
            <w:rPr>
              <w:lang w:val="en-US"/>
            </w:rPr>
            <w:t>Souleles</w:t>
          </w:r>
          <w:proofErr w:type="spellEnd"/>
          <w:r w:rsidRPr="00CB249E">
            <w:rPr>
              <w:lang w:val="en-US"/>
            </w:rPr>
            <w:t xml:space="preserve">, N. S., </w:t>
          </w:r>
          <w:proofErr w:type="spellStart"/>
          <w:r w:rsidRPr="00CB249E">
            <w:rPr>
              <w:lang w:val="en-US"/>
            </w:rPr>
            <w:t>Chomsisengphet</w:t>
          </w:r>
          <w:proofErr w:type="spellEnd"/>
          <w:r w:rsidRPr="00CB249E">
            <w:rPr>
              <w:lang w:val="en-US"/>
            </w:rPr>
            <w:t>, S., Glennon, D., &amp; Hunt, R. (2010). "What 'Triggers' Mortgage Default?". American Economic Review, 100(2), 490-494.</w:t>
          </w:r>
        </w:p>
        <w:p w14:paraId="04C595D6" w14:textId="1BD1CCDC" w:rsidR="00BB51C9" w:rsidRPr="00C86CEA" w:rsidRDefault="00C86CEA" w:rsidP="00446933">
          <w:pPr>
            <w:rPr>
              <w:lang w:val="es-ES"/>
            </w:rPr>
          </w:pPr>
          <w:r w:rsidRPr="00CB249E">
            <w:rPr>
              <w:lang w:val="en-US"/>
            </w:rPr>
            <w:t xml:space="preserve">[16] Lundberg, S. M., &amp; Lee, S. I. (2017). "A Unified Approach to Interpreting Model Predictions". </w:t>
          </w:r>
          <w:proofErr w:type="spellStart"/>
          <w:r w:rsidRPr="00CB249E">
            <w:rPr>
              <w:lang w:val="es-ES"/>
            </w:rPr>
            <w:t>Advances</w:t>
          </w:r>
          <w:proofErr w:type="spellEnd"/>
          <w:r w:rsidRPr="00CB249E">
            <w:rPr>
              <w:lang w:val="es-ES"/>
            </w:rPr>
            <w:t xml:space="preserve"> in Neural </w:t>
          </w:r>
          <w:proofErr w:type="spellStart"/>
          <w:r w:rsidRPr="00CB249E">
            <w:rPr>
              <w:lang w:val="es-ES"/>
            </w:rPr>
            <w:t>Information</w:t>
          </w:r>
          <w:proofErr w:type="spellEnd"/>
          <w:r w:rsidRPr="00CB249E">
            <w:rPr>
              <w:lang w:val="es-ES"/>
            </w:rPr>
            <w:t xml:space="preserve"> Processing </w:t>
          </w:r>
          <w:proofErr w:type="spellStart"/>
          <w:r w:rsidRPr="00CB249E">
            <w:rPr>
              <w:lang w:val="es-ES"/>
            </w:rPr>
            <w:t>Systems</w:t>
          </w:r>
          <w:proofErr w:type="spellEnd"/>
          <w:r w:rsidRPr="00CB249E">
            <w:rPr>
              <w:lang w:val="es-ES"/>
            </w:rPr>
            <w:t>.</w:t>
          </w:r>
          <w:sdt>
            <w:sdtPr>
              <w:id w:val="1036776909"/>
              <w:bibliography/>
            </w:sdtPr>
            <w:sdtContent/>
          </w:sdt>
        </w:p>
      </w:sdtContent>
    </w:sdt>
    <w:p w14:paraId="5B8A2080" w14:textId="77777777" w:rsidR="00CB249E" w:rsidRPr="00C86CEA" w:rsidRDefault="00CB249E" w:rsidP="00CB249E">
      <w:pPr>
        <w:rPr>
          <w:lang w:val="en-GB"/>
        </w:rPr>
      </w:pPr>
    </w:p>
    <w:p w14:paraId="64407247" w14:textId="11A99575" w:rsidR="00813946" w:rsidRPr="00BE3006" w:rsidRDefault="006B735B" w:rsidP="00BE3006">
      <w:pPr>
        <w:pStyle w:val="Ttulo1"/>
      </w:pPr>
      <w:r w:rsidRPr="00BE3006">
        <w:t>Condiciones para el desarrollo</w:t>
      </w:r>
      <w:bookmarkEnd w:id="8"/>
    </w:p>
    <w:p w14:paraId="0FF8051E" w14:textId="4C3E124A" w:rsidR="00830E0B" w:rsidRDefault="00830E0B" w:rsidP="007F2A61">
      <w:pPr>
        <w:ind w:left="360"/>
      </w:pPr>
      <w:r>
        <w:t xml:space="preserve">Dispongo </w:t>
      </w:r>
      <w:r w:rsidR="00327033">
        <w:t>de acceso a los datos</w:t>
      </w:r>
      <w:r w:rsidR="00777A36">
        <w:t xml:space="preserve"> para el desarrollo del trabajo.</w:t>
      </w:r>
    </w:p>
    <w:p w14:paraId="00EE22D6" w14:textId="26BF3243" w:rsidR="00813946" w:rsidRDefault="006B735B" w:rsidP="007F2A61">
      <w:pPr>
        <w:ind w:left="360"/>
      </w:pPr>
      <w:r>
        <w:t xml:space="preserve">El desarrollo del trabajo de tesis será llevado a cabo en modalidad </w:t>
      </w:r>
      <w:r w:rsidR="001678E1">
        <w:t>híbrida</w:t>
      </w:r>
      <w:r>
        <w:t xml:space="preserve"> </w:t>
      </w:r>
      <w:r w:rsidR="00DA1CA1">
        <w:t xml:space="preserve">con el siguiente </w:t>
      </w:r>
      <w:r>
        <w:t>equipamiento de hardware:</w:t>
      </w:r>
    </w:p>
    <w:p w14:paraId="0A109D58" w14:textId="5F44A898" w:rsidR="00813946" w:rsidRPr="00B34704" w:rsidRDefault="006B735B">
      <w:pPr>
        <w:pStyle w:val="Prrafodelista"/>
        <w:numPr>
          <w:ilvl w:val="0"/>
          <w:numId w:val="4"/>
        </w:numPr>
        <w:rPr>
          <w:lang w:val="en-GB"/>
        </w:rPr>
      </w:pPr>
      <w:r w:rsidRPr="00B34704">
        <w:rPr>
          <w:lang w:val="en-GB"/>
        </w:rPr>
        <w:t xml:space="preserve">Workstation </w:t>
      </w:r>
      <w:r w:rsidR="00C031F5" w:rsidRPr="00C031F5">
        <w:rPr>
          <w:lang w:val="en-GB"/>
        </w:rPr>
        <w:t xml:space="preserve">Omen </w:t>
      </w:r>
      <w:r w:rsidR="00C031F5">
        <w:rPr>
          <w:lang w:val="en-GB"/>
        </w:rPr>
        <w:t xml:space="preserve">HP Gaming Laptop, </w:t>
      </w:r>
      <w:r w:rsidR="00C031F5" w:rsidRPr="00C031F5">
        <w:rPr>
          <w:lang w:val="en-GB"/>
        </w:rPr>
        <w:t xml:space="preserve">AMD </w:t>
      </w:r>
      <w:proofErr w:type="spellStart"/>
      <w:r w:rsidR="00C031F5" w:rsidRPr="00C031F5">
        <w:rPr>
          <w:lang w:val="en-GB"/>
        </w:rPr>
        <w:t>Ryzen</w:t>
      </w:r>
      <w:proofErr w:type="spellEnd"/>
      <w:r w:rsidR="00C031F5" w:rsidRPr="00C031F5">
        <w:rPr>
          <w:lang w:val="en-GB"/>
        </w:rPr>
        <w:t xml:space="preserve"> 7 7840HS w/ Radeon 780M Graphics</w:t>
      </w:r>
    </w:p>
    <w:p w14:paraId="3A70F7E9" w14:textId="77777777" w:rsidR="00813946" w:rsidRDefault="006B735B">
      <w:pPr>
        <w:pStyle w:val="Prrafodelista"/>
        <w:numPr>
          <w:ilvl w:val="0"/>
          <w:numId w:val="4"/>
        </w:numPr>
      </w:pPr>
      <w:r>
        <w:t>Windows 11 Professional 64bits</w:t>
      </w:r>
    </w:p>
    <w:p w14:paraId="1AE36F4D" w14:textId="77777777" w:rsidR="00813946" w:rsidRDefault="006B735B">
      <w:pPr>
        <w:pStyle w:val="Prrafodelista"/>
        <w:numPr>
          <w:ilvl w:val="0"/>
          <w:numId w:val="4"/>
        </w:numPr>
      </w:pPr>
      <w:r>
        <w:t>16 GB RAM – 500 GB Disco SSD</w:t>
      </w:r>
    </w:p>
    <w:p w14:paraId="17F78496" w14:textId="3CF89028" w:rsidR="00830E0B" w:rsidRDefault="00830E0B" w:rsidP="00830E0B">
      <w:pPr>
        <w:pStyle w:val="Prrafodelista"/>
        <w:ind w:left="0"/>
      </w:pPr>
    </w:p>
    <w:sectPr w:rsidR="00830E0B" w:rsidSect="00A628CA">
      <w:pgSz w:w="12240" w:h="15840"/>
      <w:pgMar w:top="1135" w:right="1701" w:bottom="1276"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CA6"/>
    <w:multiLevelType w:val="multilevel"/>
    <w:tmpl w:val="D72AF42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1120B1B"/>
    <w:multiLevelType w:val="hybridMultilevel"/>
    <w:tmpl w:val="986E53D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6980CF5"/>
    <w:multiLevelType w:val="multilevel"/>
    <w:tmpl w:val="799A9A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8104191"/>
    <w:multiLevelType w:val="multilevel"/>
    <w:tmpl w:val="14869B2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244119F9"/>
    <w:multiLevelType w:val="hybridMultilevel"/>
    <w:tmpl w:val="319CB6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271E5DA0"/>
    <w:multiLevelType w:val="hybridMultilevel"/>
    <w:tmpl w:val="B7D01FCC"/>
    <w:lvl w:ilvl="0" w:tplc="3B42D9F2">
      <w:start w:val="1"/>
      <w:numFmt w:val="decimal"/>
      <w:pStyle w:val="Ttulo1"/>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 w15:restartNumberingAfterBreak="0">
    <w:nsid w:val="2DEA170C"/>
    <w:multiLevelType w:val="multilevel"/>
    <w:tmpl w:val="D8F6CF7A"/>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112429B"/>
    <w:multiLevelType w:val="multilevel"/>
    <w:tmpl w:val="EA2E8204"/>
    <w:lvl w:ilvl="0">
      <w:start w:val="1"/>
      <w:numFmt w:val="bullet"/>
      <w:lvlText w:val="-"/>
      <w:lvlJc w:val="left"/>
      <w:pPr>
        <w:tabs>
          <w:tab w:val="num" w:pos="0"/>
        </w:tabs>
        <w:ind w:left="1068" w:hanging="360"/>
      </w:pPr>
      <w:rPr>
        <w:rFonts w:ascii="Times New Roman" w:hAnsi="Times New Roman" w:cs="Times New Roman"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8" w15:restartNumberingAfterBreak="0">
    <w:nsid w:val="360947C1"/>
    <w:multiLevelType w:val="hybridMultilevel"/>
    <w:tmpl w:val="E39C97C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3BB55861"/>
    <w:multiLevelType w:val="multilevel"/>
    <w:tmpl w:val="A09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04C38"/>
    <w:multiLevelType w:val="hybridMultilevel"/>
    <w:tmpl w:val="C2B67880"/>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15:restartNumberingAfterBreak="0">
    <w:nsid w:val="481B7D42"/>
    <w:multiLevelType w:val="multilevel"/>
    <w:tmpl w:val="5964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36C5E"/>
    <w:multiLevelType w:val="hybridMultilevel"/>
    <w:tmpl w:val="89006970"/>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749A0DB6"/>
    <w:multiLevelType w:val="hybridMultilevel"/>
    <w:tmpl w:val="5D5022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79EB6D49"/>
    <w:multiLevelType w:val="multilevel"/>
    <w:tmpl w:val="A27AB1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C175648"/>
    <w:multiLevelType w:val="hybridMultilevel"/>
    <w:tmpl w:val="A97694B0"/>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16cid:durableId="698897862">
    <w:abstractNumId w:val="3"/>
  </w:num>
  <w:num w:numId="2" w16cid:durableId="640614462">
    <w:abstractNumId w:val="14"/>
  </w:num>
  <w:num w:numId="3" w16cid:durableId="446853083">
    <w:abstractNumId w:val="0"/>
  </w:num>
  <w:num w:numId="4" w16cid:durableId="203251207">
    <w:abstractNumId w:val="7"/>
  </w:num>
  <w:num w:numId="5" w16cid:durableId="1957248391">
    <w:abstractNumId w:val="6"/>
  </w:num>
  <w:num w:numId="6" w16cid:durableId="1561750702">
    <w:abstractNumId w:val="2"/>
  </w:num>
  <w:num w:numId="7" w16cid:durableId="1347443193">
    <w:abstractNumId w:val="10"/>
  </w:num>
  <w:num w:numId="8" w16cid:durableId="304048419">
    <w:abstractNumId w:val="12"/>
  </w:num>
  <w:num w:numId="9" w16cid:durableId="1898391187">
    <w:abstractNumId w:val="5"/>
  </w:num>
  <w:num w:numId="10" w16cid:durableId="1631597030">
    <w:abstractNumId w:val="15"/>
  </w:num>
  <w:num w:numId="11" w16cid:durableId="1022441258">
    <w:abstractNumId w:val="1"/>
  </w:num>
  <w:num w:numId="12" w16cid:durableId="875393891">
    <w:abstractNumId w:val="13"/>
  </w:num>
  <w:num w:numId="13" w16cid:durableId="1676566825">
    <w:abstractNumId w:val="4"/>
  </w:num>
  <w:num w:numId="14" w16cid:durableId="1948660560">
    <w:abstractNumId w:val="11"/>
  </w:num>
  <w:num w:numId="15" w16cid:durableId="35550096">
    <w:abstractNumId w:val="8"/>
  </w:num>
  <w:num w:numId="16" w16cid:durableId="17779446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46"/>
    <w:rsid w:val="000026C0"/>
    <w:rsid w:val="000118B2"/>
    <w:rsid w:val="00012B51"/>
    <w:rsid w:val="00013448"/>
    <w:rsid w:val="00020DE4"/>
    <w:rsid w:val="000218EF"/>
    <w:rsid w:val="00022317"/>
    <w:rsid w:val="00022AF3"/>
    <w:rsid w:val="00023567"/>
    <w:rsid w:val="00025643"/>
    <w:rsid w:val="0003469B"/>
    <w:rsid w:val="000430B9"/>
    <w:rsid w:val="00043D85"/>
    <w:rsid w:val="0004537F"/>
    <w:rsid w:val="00046E97"/>
    <w:rsid w:val="00062DB1"/>
    <w:rsid w:val="00063133"/>
    <w:rsid w:val="000711C1"/>
    <w:rsid w:val="00084BA1"/>
    <w:rsid w:val="000A34DF"/>
    <w:rsid w:val="000B0E3E"/>
    <w:rsid w:val="000B4CF6"/>
    <w:rsid w:val="000C0C91"/>
    <w:rsid w:val="000C2E77"/>
    <w:rsid w:val="000C5699"/>
    <w:rsid w:val="000D45B6"/>
    <w:rsid w:val="000F16FD"/>
    <w:rsid w:val="000F5136"/>
    <w:rsid w:val="000F6EDB"/>
    <w:rsid w:val="00100288"/>
    <w:rsid w:val="00102B40"/>
    <w:rsid w:val="00112287"/>
    <w:rsid w:val="00123764"/>
    <w:rsid w:val="00134992"/>
    <w:rsid w:val="00136CF5"/>
    <w:rsid w:val="00147371"/>
    <w:rsid w:val="00152DC1"/>
    <w:rsid w:val="00155B5E"/>
    <w:rsid w:val="00156721"/>
    <w:rsid w:val="00162C86"/>
    <w:rsid w:val="001678E1"/>
    <w:rsid w:val="00187BBC"/>
    <w:rsid w:val="00192792"/>
    <w:rsid w:val="00192B83"/>
    <w:rsid w:val="001949D1"/>
    <w:rsid w:val="00194B60"/>
    <w:rsid w:val="00195E40"/>
    <w:rsid w:val="0019782C"/>
    <w:rsid w:val="001A053C"/>
    <w:rsid w:val="001A6FF0"/>
    <w:rsid w:val="001A7189"/>
    <w:rsid w:val="001A7F89"/>
    <w:rsid w:val="001B143A"/>
    <w:rsid w:val="001B2654"/>
    <w:rsid w:val="001B6A02"/>
    <w:rsid w:val="001B7E52"/>
    <w:rsid w:val="001C2D00"/>
    <w:rsid w:val="001C42C1"/>
    <w:rsid w:val="001C62A2"/>
    <w:rsid w:val="001D0080"/>
    <w:rsid w:val="001D2252"/>
    <w:rsid w:val="001E1CF9"/>
    <w:rsid w:val="001E280D"/>
    <w:rsid w:val="0020283E"/>
    <w:rsid w:val="00211A6D"/>
    <w:rsid w:val="00220A9B"/>
    <w:rsid w:val="002273A9"/>
    <w:rsid w:val="0023467D"/>
    <w:rsid w:val="00236DD7"/>
    <w:rsid w:val="00244711"/>
    <w:rsid w:val="0025289E"/>
    <w:rsid w:val="00252F84"/>
    <w:rsid w:val="002552C3"/>
    <w:rsid w:val="00257424"/>
    <w:rsid w:val="00263091"/>
    <w:rsid w:val="00264822"/>
    <w:rsid w:val="0026761B"/>
    <w:rsid w:val="00270DBB"/>
    <w:rsid w:val="0027134A"/>
    <w:rsid w:val="002714F4"/>
    <w:rsid w:val="002731AA"/>
    <w:rsid w:val="00277D97"/>
    <w:rsid w:val="00277FFE"/>
    <w:rsid w:val="002847D4"/>
    <w:rsid w:val="00284D19"/>
    <w:rsid w:val="002860E2"/>
    <w:rsid w:val="002861EE"/>
    <w:rsid w:val="0029495C"/>
    <w:rsid w:val="00296B05"/>
    <w:rsid w:val="002A04E9"/>
    <w:rsid w:val="002B162C"/>
    <w:rsid w:val="002B5506"/>
    <w:rsid w:val="002B6641"/>
    <w:rsid w:val="002C0BFA"/>
    <w:rsid w:val="002C49AC"/>
    <w:rsid w:val="002D203F"/>
    <w:rsid w:val="002F02EB"/>
    <w:rsid w:val="002F3304"/>
    <w:rsid w:val="003014C9"/>
    <w:rsid w:val="0032133E"/>
    <w:rsid w:val="00327033"/>
    <w:rsid w:val="00340638"/>
    <w:rsid w:val="00342B1D"/>
    <w:rsid w:val="00353892"/>
    <w:rsid w:val="00353FFA"/>
    <w:rsid w:val="003673CD"/>
    <w:rsid w:val="00391178"/>
    <w:rsid w:val="003920D3"/>
    <w:rsid w:val="00395105"/>
    <w:rsid w:val="003A0963"/>
    <w:rsid w:val="003A2363"/>
    <w:rsid w:val="003B0278"/>
    <w:rsid w:val="003B0A84"/>
    <w:rsid w:val="003B2B67"/>
    <w:rsid w:val="003B4999"/>
    <w:rsid w:val="003C65F9"/>
    <w:rsid w:val="003D3D4E"/>
    <w:rsid w:val="003D3EC3"/>
    <w:rsid w:val="003E38DF"/>
    <w:rsid w:val="003E3C6B"/>
    <w:rsid w:val="003E450F"/>
    <w:rsid w:val="003E5CDD"/>
    <w:rsid w:val="003F5AC5"/>
    <w:rsid w:val="00402CCB"/>
    <w:rsid w:val="00407AB2"/>
    <w:rsid w:val="00410A8C"/>
    <w:rsid w:val="0041541B"/>
    <w:rsid w:val="00423B4B"/>
    <w:rsid w:val="00423F08"/>
    <w:rsid w:val="00430887"/>
    <w:rsid w:val="004308B9"/>
    <w:rsid w:val="00431234"/>
    <w:rsid w:val="00431F93"/>
    <w:rsid w:val="00441CA2"/>
    <w:rsid w:val="00446933"/>
    <w:rsid w:val="00446C97"/>
    <w:rsid w:val="004507F0"/>
    <w:rsid w:val="0045105F"/>
    <w:rsid w:val="00455503"/>
    <w:rsid w:val="00460156"/>
    <w:rsid w:val="00460D77"/>
    <w:rsid w:val="00461E84"/>
    <w:rsid w:val="00464BDD"/>
    <w:rsid w:val="0047275E"/>
    <w:rsid w:val="0048204F"/>
    <w:rsid w:val="00487988"/>
    <w:rsid w:val="0049539C"/>
    <w:rsid w:val="00496D6B"/>
    <w:rsid w:val="004A35A3"/>
    <w:rsid w:val="004A3D90"/>
    <w:rsid w:val="004B28E9"/>
    <w:rsid w:val="004C0371"/>
    <w:rsid w:val="004C1183"/>
    <w:rsid w:val="004C1A6F"/>
    <w:rsid w:val="004C2C61"/>
    <w:rsid w:val="004C3C51"/>
    <w:rsid w:val="004C54A9"/>
    <w:rsid w:val="004C5E9C"/>
    <w:rsid w:val="004D4A63"/>
    <w:rsid w:val="004D656A"/>
    <w:rsid w:val="004E4D1E"/>
    <w:rsid w:val="004E58D4"/>
    <w:rsid w:val="004F35AB"/>
    <w:rsid w:val="004F6294"/>
    <w:rsid w:val="004F7A12"/>
    <w:rsid w:val="00504824"/>
    <w:rsid w:val="0050633D"/>
    <w:rsid w:val="005200D1"/>
    <w:rsid w:val="00523D10"/>
    <w:rsid w:val="0052458E"/>
    <w:rsid w:val="00524A4E"/>
    <w:rsid w:val="0052572C"/>
    <w:rsid w:val="00526CFB"/>
    <w:rsid w:val="00556B7B"/>
    <w:rsid w:val="00560AE8"/>
    <w:rsid w:val="0056114F"/>
    <w:rsid w:val="00576F6F"/>
    <w:rsid w:val="00586257"/>
    <w:rsid w:val="00586981"/>
    <w:rsid w:val="005A13AB"/>
    <w:rsid w:val="005A276F"/>
    <w:rsid w:val="005B28AA"/>
    <w:rsid w:val="005C0CA8"/>
    <w:rsid w:val="005C53A2"/>
    <w:rsid w:val="005D2C02"/>
    <w:rsid w:val="005E0B8A"/>
    <w:rsid w:val="005E3108"/>
    <w:rsid w:val="005E61A7"/>
    <w:rsid w:val="005F312F"/>
    <w:rsid w:val="005F5A77"/>
    <w:rsid w:val="00602A46"/>
    <w:rsid w:val="00611390"/>
    <w:rsid w:val="0062049E"/>
    <w:rsid w:val="0062085B"/>
    <w:rsid w:val="0062428E"/>
    <w:rsid w:val="0062571F"/>
    <w:rsid w:val="00630454"/>
    <w:rsid w:val="00635A0B"/>
    <w:rsid w:val="00640735"/>
    <w:rsid w:val="00640F50"/>
    <w:rsid w:val="00642BF8"/>
    <w:rsid w:val="006508F2"/>
    <w:rsid w:val="00652CDF"/>
    <w:rsid w:val="00657C14"/>
    <w:rsid w:val="00663B89"/>
    <w:rsid w:val="00667976"/>
    <w:rsid w:val="00671C6E"/>
    <w:rsid w:val="00674C79"/>
    <w:rsid w:val="00675D40"/>
    <w:rsid w:val="00680959"/>
    <w:rsid w:val="006915FC"/>
    <w:rsid w:val="006B1AFF"/>
    <w:rsid w:val="006B5FA7"/>
    <w:rsid w:val="006B735B"/>
    <w:rsid w:val="006C2334"/>
    <w:rsid w:val="006C5355"/>
    <w:rsid w:val="006D524B"/>
    <w:rsid w:val="006F12DE"/>
    <w:rsid w:val="006F2D4E"/>
    <w:rsid w:val="006F55C9"/>
    <w:rsid w:val="007219E2"/>
    <w:rsid w:val="00731B20"/>
    <w:rsid w:val="00732FDC"/>
    <w:rsid w:val="00736ED5"/>
    <w:rsid w:val="00745379"/>
    <w:rsid w:val="00745D2E"/>
    <w:rsid w:val="00747B7C"/>
    <w:rsid w:val="00747E20"/>
    <w:rsid w:val="00750B1A"/>
    <w:rsid w:val="00761858"/>
    <w:rsid w:val="00761BEA"/>
    <w:rsid w:val="007622B0"/>
    <w:rsid w:val="007656C2"/>
    <w:rsid w:val="00773501"/>
    <w:rsid w:val="007766AC"/>
    <w:rsid w:val="00777A36"/>
    <w:rsid w:val="007841C6"/>
    <w:rsid w:val="007A2D62"/>
    <w:rsid w:val="007A2FBA"/>
    <w:rsid w:val="007A3104"/>
    <w:rsid w:val="007A6D41"/>
    <w:rsid w:val="007C0CEB"/>
    <w:rsid w:val="007C2657"/>
    <w:rsid w:val="007C3006"/>
    <w:rsid w:val="007D2CDA"/>
    <w:rsid w:val="007D3960"/>
    <w:rsid w:val="007D56BC"/>
    <w:rsid w:val="007E203E"/>
    <w:rsid w:val="007E5263"/>
    <w:rsid w:val="007E622D"/>
    <w:rsid w:val="007F2A61"/>
    <w:rsid w:val="00801B28"/>
    <w:rsid w:val="008065AB"/>
    <w:rsid w:val="00807A8D"/>
    <w:rsid w:val="00812DF0"/>
    <w:rsid w:val="00813946"/>
    <w:rsid w:val="008146BA"/>
    <w:rsid w:val="008165F9"/>
    <w:rsid w:val="00816AE9"/>
    <w:rsid w:val="008202FE"/>
    <w:rsid w:val="00823369"/>
    <w:rsid w:val="0083033A"/>
    <w:rsid w:val="008307C5"/>
    <w:rsid w:val="00830E0B"/>
    <w:rsid w:val="00834B18"/>
    <w:rsid w:val="00844357"/>
    <w:rsid w:val="00845C58"/>
    <w:rsid w:val="00851B5A"/>
    <w:rsid w:val="008663FB"/>
    <w:rsid w:val="008724E1"/>
    <w:rsid w:val="00876E85"/>
    <w:rsid w:val="008A2D08"/>
    <w:rsid w:val="008A79D8"/>
    <w:rsid w:val="008B4503"/>
    <w:rsid w:val="008C1746"/>
    <w:rsid w:val="008C28B5"/>
    <w:rsid w:val="008C7307"/>
    <w:rsid w:val="008D4721"/>
    <w:rsid w:val="008F2B9E"/>
    <w:rsid w:val="008F3967"/>
    <w:rsid w:val="008F39AB"/>
    <w:rsid w:val="00903619"/>
    <w:rsid w:val="00922657"/>
    <w:rsid w:val="00943D1B"/>
    <w:rsid w:val="00945922"/>
    <w:rsid w:val="009508E5"/>
    <w:rsid w:val="00954630"/>
    <w:rsid w:val="00954A9C"/>
    <w:rsid w:val="009562F5"/>
    <w:rsid w:val="009600B8"/>
    <w:rsid w:val="00963D0B"/>
    <w:rsid w:val="00965D06"/>
    <w:rsid w:val="00971819"/>
    <w:rsid w:val="0097222F"/>
    <w:rsid w:val="009839A3"/>
    <w:rsid w:val="00995DAA"/>
    <w:rsid w:val="00995F13"/>
    <w:rsid w:val="009A3B2F"/>
    <w:rsid w:val="009B0379"/>
    <w:rsid w:val="009B4323"/>
    <w:rsid w:val="009B4CF2"/>
    <w:rsid w:val="009B72CF"/>
    <w:rsid w:val="009C01C5"/>
    <w:rsid w:val="009C1158"/>
    <w:rsid w:val="009D358F"/>
    <w:rsid w:val="009D5BF8"/>
    <w:rsid w:val="009F2537"/>
    <w:rsid w:val="00A0032B"/>
    <w:rsid w:val="00A0230F"/>
    <w:rsid w:val="00A068B9"/>
    <w:rsid w:val="00A1073A"/>
    <w:rsid w:val="00A123B9"/>
    <w:rsid w:val="00A26171"/>
    <w:rsid w:val="00A4466D"/>
    <w:rsid w:val="00A45198"/>
    <w:rsid w:val="00A4750E"/>
    <w:rsid w:val="00A5220C"/>
    <w:rsid w:val="00A561F4"/>
    <w:rsid w:val="00A60711"/>
    <w:rsid w:val="00A625AB"/>
    <w:rsid w:val="00A628CA"/>
    <w:rsid w:val="00A7316C"/>
    <w:rsid w:val="00A857D0"/>
    <w:rsid w:val="00A87198"/>
    <w:rsid w:val="00A949F9"/>
    <w:rsid w:val="00AA0D09"/>
    <w:rsid w:val="00AA196D"/>
    <w:rsid w:val="00AA2F3A"/>
    <w:rsid w:val="00AA7B77"/>
    <w:rsid w:val="00AB08B4"/>
    <w:rsid w:val="00AB1555"/>
    <w:rsid w:val="00AB5DE3"/>
    <w:rsid w:val="00AB6128"/>
    <w:rsid w:val="00AC20E2"/>
    <w:rsid w:val="00AC5B81"/>
    <w:rsid w:val="00AD1E4D"/>
    <w:rsid w:val="00AD4599"/>
    <w:rsid w:val="00AE2DC7"/>
    <w:rsid w:val="00AE369B"/>
    <w:rsid w:val="00AF0FCE"/>
    <w:rsid w:val="00AF2B41"/>
    <w:rsid w:val="00AF4C5C"/>
    <w:rsid w:val="00B12AC2"/>
    <w:rsid w:val="00B12E7B"/>
    <w:rsid w:val="00B15D8A"/>
    <w:rsid w:val="00B17A14"/>
    <w:rsid w:val="00B27E33"/>
    <w:rsid w:val="00B34704"/>
    <w:rsid w:val="00B3799C"/>
    <w:rsid w:val="00B42A5C"/>
    <w:rsid w:val="00B47F35"/>
    <w:rsid w:val="00B54CB6"/>
    <w:rsid w:val="00B61B50"/>
    <w:rsid w:val="00B63DF7"/>
    <w:rsid w:val="00B70004"/>
    <w:rsid w:val="00B76AB1"/>
    <w:rsid w:val="00B77B72"/>
    <w:rsid w:val="00B84503"/>
    <w:rsid w:val="00B909D2"/>
    <w:rsid w:val="00B949A2"/>
    <w:rsid w:val="00BA0DB2"/>
    <w:rsid w:val="00BA1ABF"/>
    <w:rsid w:val="00BA1C80"/>
    <w:rsid w:val="00BA38A6"/>
    <w:rsid w:val="00BB1B86"/>
    <w:rsid w:val="00BB51C9"/>
    <w:rsid w:val="00BC592F"/>
    <w:rsid w:val="00BC77E2"/>
    <w:rsid w:val="00BD50D5"/>
    <w:rsid w:val="00BD55B4"/>
    <w:rsid w:val="00BE240C"/>
    <w:rsid w:val="00BE245E"/>
    <w:rsid w:val="00BE3006"/>
    <w:rsid w:val="00BE371C"/>
    <w:rsid w:val="00BE3EAB"/>
    <w:rsid w:val="00BE48BE"/>
    <w:rsid w:val="00BF338F"/>
    <w:rsid w:val="00BF4486"/>
    <w:rsid w:val="00C010A9"/>
    <w:rsid w:val="00C031F5"/>
    <w:rsid w:val="00C04BB6"/>
    <w:rsid w:val="00C11F3D"/>
    <w:rsid w:val="00C154FC"/>
    <w:rsid w:val="00C15CC8"/>
    <w:rsid w:val="00C175F0"/>
    <w:rsid w:val="00C23889"/>
    <w:rsid w:val="00C25990"/>
    <w:rsid w:val="00C34AED"/>
    <w:rsid w:val="00C42B1A"/>
    <w:rsid w:val="00C50530"/>
    <w:rsid w:val="00C55060"/>
    <w:rsid w:val="00C56F12"/>
    <w:rsid w:val="00C57A1A"/>
    <w:rsid w:val="00C628E4"/>
    <w:rsid w:val="00C7219E"/>
    <w:rsid w:val="00C7566A"/>
    <w:rsid w:val="00C760AC"/>
    <w:rsid w:val="00C76C40"/>
    <w:rsid w:val="00C8208B"/>
    <w:rsid w:val="00C84C3D"/>
    <w:rsid w:val="00C86CEA"/>
    <w:rsid w:val="00C91FA3"/>
    <w:rsid w:val="00CA4B2D"/>
    <w:rsid w:val="00CA5091"/>
    <w:rsid w:val="00CA5D30"/>
    <w:rsid w:val="00CB249E"/>
    <w:rsid w:val="00CB4441"/>
    <w:rsid w:val="00CB5973"/>
    <w:rsid w:val="00CB5CAA"/>
    <w:rsid w:val="00CB7118"/>
    <w:rsid w:val="00CC0424"/>
    <w:rsid w:val="00CC1626"/>
    <w:rsid w:val="00CD0893"/>
    <w:rsid w:val="00CD5A7E"/>
    <w:rsid w:val="00CE7259"/>
    <w:rsid w:val="00D024DE"/>
    <w:rsid w:val="00D03EEC"/>
    <w:rsid w:val="00D12970"/>
    <w:rsid w:val="00D15851"/>
    <w:rsid w:val="00D16754"/>
    <w:rsid w:val="00D16EBC"/>
    <w:rsid w:val="00D25C62"/>
    <w:rsid w:val="00D2619B"/>
    <w:rsid w:val="00D3014B"/>
    <w:rsid w:val="00D31F1E"/>
    <w:rsid w:val="00D33D3C"/>
    <w:rsid w:val="00D40AE1"/>
    <w:rsid w:val="00D63F07"/>
    <w:rsid w:val="00D70549"/>
    <w:rsid w:val="00D71542"/>
    <w:rsid w:val="00D84E12"/>
    <w:rsid w:val="00D85592"/>
    <w:rsid w:val="00D8763F"/>
    <w:rsid w:val="00D9274E"/>
    <w:rsid w:val="00D940DC"/>
    <w:rsid w:val="00D94AA0"/>
    <w:rsid w:val="00DA065E"/>
    <w:rsid w:val="00DA0ADD"/>
    <w:rsid w:val="00DA0DD2"/>
    <w:rsid w:val="00DA1CA1"/>
    <w:rsid w:val="00DA3545"/>
    <w:rsid w:val="00DA3C83"/>
    <w:rsid w:val="00DB2857"/>
    <w:rsid w:val="00DB471F"/>
    <w:rsid w:val="00DB516B"/>
    <w:rsid w:val="00DB75E1"/>
    <w:rsid w:val="00DB7CF4"/>
    <w:rsid w:val="00DC01B6"/>
    <w:rsid w:val="00DC79AD"/>
    <w:rsid w:val="00DD16D0"/>
    <w:rsid w:val="00DD41BD"/>
    <w:rsid w:val="00DF3E0A"/>
    <w:rsid w:val="00DF57C0"/>
    <w:rsid w:val="00DF60FD"/>
    <w:rsid w:val="00DF7CC2"/>
    <w:rsid w:val="00E05BCB"/>
    <w:rsid w:val="00E12890"/>
    <w:rsid w:val="00E15C06"/>
    <w:rsid w:val="00E179F4"/>
    <w:rsid w:val="00E2310C"/>
    <w:rsid w:val="00E30F35"/>
    <w:rsid w:val="00E36866"/>
    <w:rsid w:val="00E41FD0"/>
    <w:rsid w:val="00E439FF"/>
    <w:rsid w:val="00E43E61"/>
    <w:rsid w:val="00E474BF"/>
    <w:rsid w:val="00E52203"/>
    <w:rsid w:val="00E57B7A"/>
    <w:rsid w:val="00E72A2A"/>
    <w:rsid w:val="00E81D8E"/>
    <w:rsid w:val="00E95696"/>
    <w:rsid w:val="00E9729D"/>
    <w:rsid w:val="00EA0582"/>
    <w:rsid w:val="00EA1140"/>
    <w:rsid w:val="00EA1E78"/>
    <w:rsid w:val="00EA399B"/>
    <w:rsid w:val="00EA502F"/>
    <w:rsid w:val="00EA7533"/>
    <w:rsid w:val="00EB1639"/>
    <w:rsid w:val="00EB3B45"/>
    <w:rsid w:val="00EB70B1"/>
    <w:rsid w:val="00EB7A07"/>
    <w:rsid w:val="00EC1C0C"/>
    <w:rsid w:val="00EC33A2"/>
    <w:rsid w:val="00EC618B"/>
    <w:rsid w:val="00EC6255"/>
    <w:rsid w:val="00ED229D"/>
    <w:rsid w:val="00EE2BA2"/>
    <w:rsid w:val="00EF0D91"/>
    <w:rsid w:val="00EF2C7F"/>
    <w:rsid w:val="00F005D3"/>
    <w:rsid w:val="00F046A4"/>
    <w:rsid w:val="00F061F5"/>
    <w:rsid w:val="00F06581"/>
    <w:rsid w:val="00F12ED6"/>
    <w:rsid w:val="00F21D3D"/>
    <w:rsid w:val="00F24E9E"/>
    <w:rsid w:val="00F2500E"/>
    <w:rsid w:val="00F2597B"/>
    <w:rsid w:val="00F334C7"/>
    <w:rsid w:val="00F336B9"/>
    <w:rsid w:val="00F379E9"/>
    <w:rsid w:val="00F41433"/>
    <w:rsid w:val="00F45B65"/>
    <w:rsid w:val="00F5088D"/>
    <w:rsid w:val="00F52E39"/>
    <w:rsid w:val="00F60F11"/>
    <w:rsid w:val="00F62D70"/>
    <w:rsid w:val="00F67067"/>
    <w:rsid w:val="00F67A33"/>
    <w:rsid w:val="00F803A6"/>
    <w:rsid w:val="00F8363C"/>
    <w:rsid w:val="00F849E2"/>
    <w:rsid w:val="00F84AA0"/>
    <w:rsid w:val="00F86CE3"/>
    <w:rsid w:val="00F877B0"/>
    <w:rsid w:val="00F9018F"/>
    <w:rsid w:val="00F94BF9"/>
    <w:rsid w:val="00FA1FCB"/>
    <w:rsid w:val="00FA67C6"/>
    <w:rsid w:val="00FC2543"/>
    <w:rsid w:val="00FC3791"/>
    <w:rsid w:val="00FC426E"/>
    <w:rsid w:val="00FE001D"/>
    <w:rsid w:val="00FE1941"/>
    <w:rsid w:val="00FE2C28"/>
    <w:rsid w:val="00FE6106"/>
    <w:rsid w:val="00FF04A3"/>
    <w:rsid w:val="00FF2DCA"/>
  </w:rsids>
  <m:mathPr>
    <m:mathFont m:val="Cambria Math"/>
    <m:brkBin m:val="before"/>
    <m:brkBinSub m:val="--"/>
    <m:smallFrac m:val="0"/>
    <m:dispDef/>
    <m:lMargin m:val="0"/>
    <m:rMargin m:val="0"/>
    <m:defJc m:val="centerGroup"/>
    <m:wrapIndent m:val="1440"/>
    <m:intLim m:val="subSup"/>
    <m:naryLim m:val="undOvr"/>
  </m:mathPr>
  <w:themeFontLang w:val="es-AR"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6E81"/>
  <w15:docId w15:val="{662C75E8-BADF-4E2C-A87E-CAB2600A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E5F"/>
    <w:pPr>
      <w:spacing w:line="360" w:lineRule="auto"/>
      <w:jc w:val="both"/>
    </w:pPr>
    <w:rPr>
      <w:rFonts w:ascii="Times New Roman" w:eastAsia="Calibri" w:hAnsi="Times New Roman" w:cs="Arial"/>
      <w:sz w:val="24"/>
      <w:szCs w:val="20"/>
      <w:lang w:eastAsia="es-AR"/>
    </w:rPr>
  </w:style>
  <w:style w:type="paragraph" w:styleId="Ttulo1">
    <w:name w:val="heading 1"/>
    <w:basedOn w:val="Normal"/>
    <w:next w:val="Normal"/>
    <w:link w:val="Ttulo1Car"/>
    <w:uiPriority w:val="9"/>
    <w:qFormat/>
    <w:rsid w:val="00391178"/>
    <w:pPr>
      <w:keepNext/>
      <w:keepLines/>
      <w:numPr>
        <w:numId w:val="9"/>
      </w:numPr>
      <w:spacing w:before="240"/>
      <w:outlineLvl w:val="0"/>
    </w:pPr>
    <w:rPr>
      <w:rFonts w:eastAsiaTheme="majorEastAsia" w:cstheme="majorBidi"/>
      <w:color w:val="2F5496" w:themeColor="accent1" w:themeShade="BF"/>
      <w:szCs w:val="32"/>
    </w:rPr>
  </w:style>
  <w:style w:type="paragraph" w:styleId="Ttulo2">
    <w:name w:val="heading 2"/>
    <w:basedOn w:val="Normal"/>
    <w:next w:val="Normal"/>
    <w:link w:val="Ttulo2Car"/>
    <w:uiPriority w:val="9"/>
    <w:unhideWhenUsed/>
    <w:qFormat/>
    <w:rsid w:val="003C1C21"/>
    <w:pPr>
      <w:keepNext/>
      <w:keepLines/>
      <w:spacing w:before="40"/>
      <w:outlineLvl w:val="1"/>
    </w:pPr>
    <w:rPr>
      <w:rFonts w:asciiTheme="majorHAnsi" w:eastAsiaTheme="majorEastAsia" w:hAnsiTheme="majorHAnsi" w:cstheme="majorBidi"/>
      <w:color w:val="2F5496" w:themeColor="accent1" w:themeShade="BF"/>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echaCar">
    <w:name w:val="Fecha Car"/>
    <w:basedOn w:val="Fuentedeprrafopredeter"/>
    <w:link w:val="Fecha"/>
    <w:uiPriority w:val="99"/>
    <w:semiHidden/>
    <w:qFormat/>
    <w:rsid w:val="00571C62"/>
    <w:rPr>
      <w:rFonts w:ascii="Times New Roman" w:eastAsia="Calibri" w:hAnsi="Times New Roman" w:cs="Arial"/>
      <w:sz w:val="24"/>
      <w:szCs w:val="20"/>
      <w:lang w:eastAsia="es-AR"/>
    </w:rPr>
  </w:style>
  <w:style w:type="character" w:customStyle="1" w:styleId="Ttulo2Car">
    <w:name w:val="Título 2 Car"/>
    <w:basedOn w:val="Fuentedeprrafopredeter"/>
    <w:link w:val="Ttulo2"/>
    <w:uiPriority w:val="9"/>
    <w:qFormat/>
    <w:rsid w:val="003C1C21"/>
    <w:rPr>
      <w:rFonts w:asciiTheme="majorHAnsi" w:eastAsiaTheme="majorEastAsia" w:hAnsiTheme="majorHAnsi" w:cstheme="majorBidi"/>
      <w:color w:val="2F5496" w:themeColor="accent1" w:themeShade="BF"/>
      <w:sz w:val="24"/>
      <w:szCs w:val="26"/>
      <w:lang w:eastAsia="es-AR"/>
    </w:rPr>
  </w:style>
  <w:style w:type="character" w:customStyle="1" w:styleId="Ttulo1Car">
    <w:name w:val="Título 1 Car"/>
    <w:basedOn w:val="Fuentedeprrafopredeter"/>
    <w:link w:val="Ttulo1"/>
    <w:uiPriority w:val="9"/>
    <w:qFormat/>
    <w:rsid w:val="00391178"/>
    <w:rPr>
      <w:rFonts w:ascii="Times New Roman" w:eastAsiaTheme="majorEastAsia" w:hAnsi="Times New Roman" w:cstheme="majorBidi"/>
      <w:color w:val="2F5496" w:themeColor="accent1" w:themeShade="BF"/>
      <w:sz w:val="24"/>
      <w:szCs w:val="32"/>
      <w:lang w:eastAsia="es-AR"/>
    </w:rPr>
  </w:style>
  <w:style w:type="character" w:styleId="Hipervnculo">
    <w:name w:val="Hyperlink"/>
    <w:basedOn w:val="Fuentedeprrafopredeter"/>
    <w:uiPriority w:val="99"/>
    <w:unhideWhenUsed/>
    <w:rsid w:val="00571C62"/>
    <w:rPr>
      <w:color w:val="0563C1" w:themeColor="hyperlink"/>
      <w:u w:val="single"/>
    </w:rPr>
  </w:style>
  <w:style w:type="character" w:styleId="Mencinsinresolver">
    <w:name w:val="Unresolved Mention"/>
    <w:basedOn w:val="Fuentedeprrafopredeter"/>
    <w:uiPriority w:val="99"/>
    <w:semiHidden/>
    <w:unhideWhenUsed/>
    <w:qFormat/>
    <w:rsid w:val="009A684A"/>
    <w:rPr>
      <w:color w:val="605E5C"/>
      <w:shd w:val="clear" w:color="auto" w:fill="E1DFDD"/>
    </w:rPr>
  </w:style>
  <w:style w:type="character" w:styleId="Hipervnculovisitado">
    <w:name w:val="FollowedHyperlink"/>
    <w:basedOn w:val="Fuentedeprrafopredeter"/>
    <w:uiPriority w:val="99"/>
    <w:semiHidden/>
    <w:unhideWhenUsed/>
    <w:rsid w:val="009A684A"/>
    <w:rPr>
      <w:color w:val="954F72" w:themeColor="followedHyperlink"/>
      <w:u w:val="single"/>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Cs w:val="24"/>
    </w:rPr>
  </w:style>
  <w:style w:type="paragraph" w:customStyle="1" w:styleId="ndice">
    <w:name w:val="Índice"/>
    <w:basedOn w:val="Normal"/>
    <w:qFormat/>
    <w:pPr>
      <w:suppressLineNumbers/>
    </w:pPr>
    <w:rPr>
      <w:rFonts w:cs="FreeSans"/>
    </w:rPr>
  </w:style>
  <w:style w:type="paragraph" w:customStyle="1" w:styleId="figuras">
    <w:name w:val="figuras"/>
    <w:qFormat/>
    <w:rsid w:val="00C56E5F"/>
    <w:pPr>
      <w:jc w:val="center"/>
    </w:pPr>
    <w:rPr>
      <w:rFonts w:ascii="Times New Roman" w:eastAsia="Calibri" w:hAnsi="Times New Roman" w:cs="Arial"/>
      <w:sz w:val="24"/>
      <w:szCs w:val="20"/>
      <w:shd w:val="clear" w:color="auto" w:fill="FFFFFF"/>
      <w:lang w:val="es-ES" w:eastAsia="es-ES"/>
    </w:rPr>
  </w:style>
  <w:style w:type="paragraph" w:styleId="Fecha">
    <w:name w:val="Date"/>
    <w:basedOn w:val="Normal"/>
    <w:next w:val="Normal"/>
    <w:link w:val="FechaCar"/>
    <w:uiPriority w:val="99"/>
    <w:semiHidden/>
    <w:unhideWhenUsed/>
    <w:qFormat/>
    <w:rsid w:val="00571C62"/>
  </w:style>
  <w:style w:type="paragraph" w:styleId="Ttulodendice">
    <w:name w:val="index heading"/>
    <w:basedOn w:val="Ttulo"/>
  </w:style>
  <w:style w:type="paragraph" w:styleId="TtuloTDC">
    <w:name w:val="TOC Heading"/>
    <w:basedOn w:val="Ttulo1"/>
    <w:next w:val="Normal"/>
    <w:uiPriority w:val="39"/>
    <w:unhideWhenUsed/>
    <w:qFormat/>
    <w:rsid w:val="00571C62"/>
    <w:pPr>
      <w:spacing w:line="259" w:lineRule="auto"/>
      <w:jc w:val="left"/>
      <w:outlineLvl w:val="9"/>
    </w:pPr>
    <w:rPr>
      <w:lang w:eastAsia="zh-CN"/>
    </w:rPr>
  </w:style>
  <w:style w:type="paragraph" w:styleId="TDC1">
    <w:name w:val="toc 1"/>
    <w:basedOn w:val="Normal"/>
    <w:next w:val="Normal"/>
    <w:autoRedefine/>
    <w:uiPriority w:val="39"/>
    <w:unhideWhenUsed/>
    <w:rsid w:val="00571C62"/>
    <w:pPr>
      <w:spacing w:before="120" w:after="120"/>
      <w:jc w:val="left"/>
    </w:pPr>
    <w:rPr>
      <w:rFonts w:asciiTheme="minorHAnsi" w:hAnsiTheme="minorHAnsi" w:cstheme="minorHAnsi"/>
      <w:b/>
      <w:bCs/>
      <w:caps/>
      <w:sz w:val="20"/>
    </w:rPr>
  </w:style>
  <w:style w:type="paragraph" w:styleId="TDC2">
    <w:name w:val="toc 2"/>
    <w:basedOn w:val="Normal"/>
    <w:next w:val="Normal"/>
    <w:autoRedefine/>
    <w:uiPriority w:val="39"/>
    <w:unhideWhenUsed/>
    <w:rsid w:val="00571C62"/>
    <w:pPr>
      <w:ind w:left="240"/>
      <w:jc w:val="left"/>
    </w:pPr>
    <w:rPr>
      <w:rFonts w:asciiTheme="minorHAnsi" w:hAnsiTheme="minorHAnsi" w:cstheme="minorHAnsi"/>
      <w:smallCaps/>
      <w:sz w:val="20"/>
    </w:rPr>
  </w:style>
  <w:style w:type="paragraph" w:styleId="TDC3">
    <w:name w:val="toc 3"/>
    <w:basedOn w:val="Normal"/>
    <w:next w:val="Normal"/>
    <w:autoRedefine/>
    <w:uiPriority w:val="39"/>
    <w:unhideWhenUsed/>
    <w:rsid w:val="00571C62"/>
    <w:pPr>
      <w:ind w:left="480"/>
      <w:jc w:val="left"/>
    </w:pPr>
    <w:rPr>
      <w:rFonts w:asciiTheme="minorHAnsi" w:hAnsiTheme="minorHAnsi" w:cstheme="minorHAnsi"/>
      <w:i/>
      <w:iCs/>
      <w:sz w:val="20"/>
    </w:rPr>
  </w:style>
  <w:style w:type="paragraph" w:styleId="TDC4">
    <w:name w:val="toc 4"/>
    <w:basedOn w:val="Normal"/>
    <w:next w:val="Normal"/>
    <w:autoRedefine/>
    <w:uiPriority w:val="39"/>
    <w:unhideWhenUsed/>
    <w:rsid w:val="00571C62"/>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571C62"/>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571C62"/>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571C62"/>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571C62"/>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571C62"/>
    <w:pPr>
      <w:ind w:left="1920"/>
      <w:jc w:val="left"/>
    </w:pPr>
    <w:rPr>
      <w:rFonts w:asciiTheme="minorHAnsi" w:hAnsiTheme="minorHAnsi" w:cstheme="minorHAnsi"/>
      <w:sz w:val="18"/>
      <w:szCs w:val="18"/>
    </w:rPr>
  </w:style>
  <w:style w:type="paragraph" w:styleId="Prrafodelista">
    <w:name w:val="List Paragraph"/>
    <w:basedOn w:val="Normal"/>
    <w:uiPriority w:val="34"/>
    <w:qFormat/>
    <w:rsid w:val="004C645C"/>
    <w:pPr>
      <w:ind w:left="720"/>
      <w:contextualSpacing/>
    </w:pPr>
  </w:style>
  <w:style w:type="paragraph" w:customStyle="1" w:styleId="Default">
    <w:name w:val="Default"/>
    <w:qFormat/>
    <w:rsid w:val="007B3A29"/>
    <w:rPr>
      <w:rFonts w:ascii="Book Antiqua" w:eastAsia="DengXian" w:hAnsi="Book Antiqua" w:cs="Book Antiqua"/>
      <w:color w:val="000000"/>
      <w:sz w:val="24"/>
      <w:szCs w:val="24"/>
    </w:rPr>
  </w:style>
  <w:style w:type="table" w:styleId="Tablaconcuadrcula">
    <w:name w:val="Table Grid"/>
    <w:basedOn w:val="Tablanormal"/>
    <w:rsid w:val="00C56E5F"/>
    <w:rPr>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ibliografa">
    <w:name w:val="Bibliography"/>
    <w:basedOn w:val="Normal"/>
    <w:next w:val="Normal"/>
    <w:uiPriority w:val="37"/>
    <w:unhideWhenUsed/>
    <w:rsid w:val="00750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5323">
      <w:bodyDiv w:val="1"/>
      <w:marLeft w:val="0"/>
      <w:marRight w:val="0"/>
      <w:marTop w:val="0"/>
      <w:marBottom w:val="0"/>
      <w:divBdr>
        <w:top w:val="none" w:sz="0" w:space="0" w:color="auto"/>
        <w:left w:val="none" w:sz="0" w:space="0" w:color="auto"/>
        <w:bottom w:val="none" w:sz="0" w:space="0" w:color="auto"/>
        <w:right w:val="none" w:sz="0" w:space="0" w:color="auto"/>
      </w:divBdr>
    </w:div>
    <w:div w:id="40254023">
      <w:bodyDiv w:val="1"/>
      <w:marLeft w:val="0"/>
      <w:marRight w:val="0"/>
      <w:marTop w:val="0"/>
      <w:marBottom w:val="0"/>
      <w:divBdr>
        <w:top w:val="none" w:sz="0" w:space="0" w:color="auto"/>
        <w:left w:val="none" w:sz="0" w:space="0" w:color="auto"/>
        <w:bottom w:val="none" w:sz="0" w:space="0" w:color="auto"/>
        <w:right w:val="none" w:sz="0" w:space="0" w:color="auto"/>
      </w:divBdr>
    </w:div>
    <w:div w:id="82650293">
      <w:bodyDiv w:val="1"/>
      <w:marLeft w:val="0"/>
      <w:marRight w:val="0"/>
      <w:marTop w:val="0"/>
      <w:marBottom w:val="0"/>
      <w:divBdr>
        <w:top w:val="none" w:sz="0" w:space="0" w:color="auto"/>
        <w:left w:val="none" w:sz="0" w:space="0" w:color="auto"/>
        <w:bottom w:val="none" w:sz="0" w:space="0" w:color="auto"/>
        <w:right w:val="none" w:sz="0" w:space="0" w:color="auto"/>
      </w:divBdr>
    </w:div>
    <w:div w:id="103962516">
      <w:bodyDiv w:val="1"/>
      <w:marLeft w:val="0"/>
      <w:marRight w:val="0"/>
      <w:marTop w:val="0"/>
      <w:marBottom w:val="0"/>
      <w:divBdr>
        <w:top w:val="none" w:sz="0" w:space="0" w:color="auto"/>
        <w:left w:val="none" w:sz="0" w:space="0" w:color="auto"/>
        <w:bottom w:val="none" w:sz="0" w:space="0" w:color="auto"/>
        <w:right w:val="none" w:sz="0" w:space="0" w:color="auto"/>
      </w:divBdr>
    </w:div>
    <w:div w:id="112333444">
      <w:bodyDiv w:val="1"/>
      <w:marLeft w:val="0"/>
      <w:marRight w:val="0"/>
      <w:marTop w:val="0"/>
      <w:marBottom w:val="0"/>
      <w:divBdr>
        <w:top w:val="none" w:sz="0" w:space="0" w:color="auto"/>
        <w:left w:val="none" w:sz="0" w:space="0" w:color="auto"/>
        <w:bottom w:val="none" w:sz="0" w:space="0" w:color="auto"/>
        <w:right w:val="none" w:sz="0" w:space="0" w:color="auto"/>
      </w:divBdr>
    </w:div>
    <w:div w:id="116418415">
      <w:bodyDiv w:val="1"/>
      <w:marLeft w:val="0"/>
      <w:marRight w:val="0"/>
      <w:marTop w:val="0"/>
      <w:marBottom w:val="0"/>
      <w:divBdr>
        <w:top w:val="none" w:sz="0" w:space="0" w:color="auto"/>
        <w:left w:val="none" w:sz="0" w:space="0" w:color="auto"/>
        <w:bottom w:val="none" w:sz="0" w:space="0" w:color="auto"/>
        <w:right w:val="none" w:sz="0" w:space="0" w:color="auto"/>
      </w:divBdr>
    </w:div>
    <w:div w:id="172457226">
      <w:bodyDiv w:val="1"/>
      <w:marLeft w:val="0"/>
      <w:marRight w:val="0"/>
      <w:marTop w:val="0"/>
      <w:marBottom w:val="0"/>
      <w:divBdr>
        <w:top w:val="none" w:sz="0" w:space="0" w:color="auto"/>
        <w:left w:val="none" w:sz="0" w:space="0" w:color="auto"/>
        <w:bottom w:val="none" w:sz="0" w:space="0" w:color="auto"/>
        <w:right w:val="none" w:sz="0" w:space="0" w:color="auto"/>
      </w:divBdr>
    </w:div>
    <w:div w:id="196547809">
      <w:bodyDiv w:val="1"/>
      <w:marLeft w:val="0"/>
      <w:marRight w:val="0"/>
      <w:marTop w:val="0"/>
      <w:marBottom w:val="0"/>
      <w:divBdr>
        <w:top w:val="none" w:sz="0" w:space="0" w:color="auto"/>
        <w:left w:val="none" w:sz="0" w:space="0" w:color="auto"/>
        <w:bottom w:val="none" w:sz="0" w:space="0" w:color="auto"/>
        <w:right w:val="none" w:sz="0" w:space="0" w:color="auto"/>
      </w:divBdr>
    </w:div>
    <w:div w:id="237908255">
      <w:bodyDiv w:val="1"/>
      <w:marLeft w:val="0"/>
      <w:marRight w:val="0"/>
      <w:marTop w:val="0"/>
      <w:marBottom w:val="0"/>
      <w:divBdr>
        <w:top w:val="none" w:sz="0" w:space="0" w:color="auto"/>
        <w:left w:val="none" w:sz="0" w:space="0" w:color="auto"/>
        <w:bottom w:val="none" w:sz="0" w:space="0" w:color="auto"/>
        <w:right w:val="none" w:sz="0" w:space="0" w:color="auto"/>
      </w:divBdr>
    </w:div>
    <w:div w:id="246502231">
      <w:bodyDiv w:val="1"/>
      <w:marLeft w:val="0"/>
      <w:marRight w:val="0"/>
      <w:marTop w:val="0"/>
      <w:marBottom w:val="0"/>
      <w:divBdr>
        <w:top w:val="none" w:sz="0" w:space="0" w:color="auto"/>
        <w:left w:val="none" w:sz="0" w:space="0" w:color="auto"/>
        <w:bottom w:val="none" w:sz="0" w:space="0" w:color="auto"/>
        <w:right w:val="none" w:sz="0" w:space="0" w:color="auto"/>
      </w:divBdr>
    </w:div>
    <w:div w:id="275333012">
      <w:bodyDiv w:val="1"/>
      <w:marLeft w:val="0"/>
      <w:marRight w:val="0"/>
      <w:marTop w:val="0"/>
      <w:marBottom w:val="0"/>
      <w:divBdr>
        <w:top w:val="none" w:sz="0" w:space="0" w:color="auto"/>
        <w:left w:val="none" w:sz="0" w:space="0" w:color="auto"/>
        <w:bottom w:val="none" w:sz="0" w:space="0" w:color="auto"/>
        <w:right w:val="none" w:sz="0" w:space="0" w:color="auto"/>
      </w:divBdr>
    </w:div>
    <w:div w:id="291983947">
      <w:bodyDiv w:val="1"/>
      <w:marLeft w:val="0"/>
      <w:marRight w:val="0"/>
      <w:marTop w:val="0"/>
      <w:marBottom w:val="0"/>
      <w:divBdr>
        <w:top w:val="none" w:sz="0" w:space="0" w:color="auto"/>
        <w:left w:val="none" w:sz="0" w:space="0" w:color="auto"/>
        <w:bottom w:val="none" w:sz="0" w:space="0" w:color="auto"/>
        <w:right w:val="none" w:sz="0" w:space="0" w:color="auto"/>
      </w:divBdr>
    </w:div>
    <w:div w:id="351492457">
      <w:bodyDiv w:val="1"/>
      <w:marLeft w:val="0"/>
      <w:marRight w:val="0"/>
      <w:marTop w:val="0"/>
      <w:marBottom w:val="0"/>
      <w:divBdr>
        <w:top w:val="none" w:sz="0" w:space="0" w:color="auto"/>
        <w:left w:val="none" w:sz="0" w:space="0" w:color="auto"/>
        <w:bottom w:val="none" w:sz="0" w:space="0" w:color="auto"/>
        <w:right w:val="none" w:sz="0" w:space="0" w:color="auto"/>
      </w:divBdr>
    </w:div>
    <w:div w:id="368343350">
      <w:bodyDiv w:val="1"/>
      <w:marLeft w:val="0"/>
      <w:marRight w:val="0"/>
      <w:marTop w:val="0"/>
      <w:marBottom w:val="0"/>
      <w:divBdr>
        <w:top w:val="none" w:sz="0" w:space="0" w:color="auto"/>
        <w:left w:val="none" w:sz="0" w:space="0" w:color="auto"/>
        <w:bottom w:val="none" w:sz="0" w:space="0" w:color="auto"/>
        <w:right w:val="none" w:sz="0" w:space="0" w:color="auto"/>
      </w:divBdr>
    </w:div>
    <w:div w:id="390269247">
      <w:bodyDiv w:val="1"/>
      <w:marLeft w:val="0"/>
      <w:marRight w:val="0"/>
      <w:marTop w:val="0"/>
      <w:marBottom w:val="0"/>
      <w:divBdr>
        <w:top w:val="none" w:sz="0" w:space="0" w:color="auto"/>
        <w:left w:val="none" w:sz="0" w:space="0" w:color="auto"/>
        <w:bottom w:val="none" w:sz="0" w:space="0" w:color="auto"/>
        <w:right w:val="none" w:sz="0" w:space="0" w:color="auto"/>
      </w:divBdr>
    </w:div>
    <w:div w:id="399982463">
      <w:bodyDiv w:val="1"/>
      <w:marLeft w:val="0"/>
      <w:marRight w:val="0"/>
      <w:marTop w:val="0"/>
      <w:marBottom w:val="0"/>
      <w:divBdr>
        <w:top w:val="none" w:sz="0" w:space="0" w:color="auto"/>
        <w:left w:val="none" w:sz="0" w:space="0" w:color="auto"/>
        <w:bottom w:val="none" w:sz="0" w:space="0" w:color="auto"/>
        <w:right w:val="none" w:sz="0" w:space="0" w:color="auto"/>
      </w:divBdr>
    </w:div>
    <w:div w:id="428044703">
      <w:bodyDiv w:val="1"/>
      <w:marLeft w:val="0"/>
      <w:marRight w:val="0"/>
      <w:marTop w:val="0"/>
      <w:marBottom w:val="0"/>
      <w:divBdr>
        <w:top w:val="none" w:sz="0" w:space="0" w:color="auto"/>
        <w:left w:val="none" w:sz="0" w:space="0" w:color="auto"/>
        <w:bottom w:val="none" w:sz="0" w:space="0" w:color="auto"/>
        <w:right w:val="none" w:sz="0" w:space="0" w:color="auto"/>
      </w:divBdr>
    </w:div>
    <w:div w:id="443232472">
      <w:bodyDiv w:val="1"/>
      <w:marLeft w:val="0"/>
      <w:marRight w:val="0"/>
      <w:marTop w:val="0"/>
      <w:marBottom w:val="0"/>
      <w:divBdr>
        <w:top w:val="none" w:sz="0" w:space="0" w:color="auto"/>
        <w:left w:val="none" w:sz="0" w:space="0" w:color="auto"/>
        <w:bottom w:val="none" w:sz="0" w:space="0" w:color="auto"/>
        <w:right w:val="none" w:sz="0" w:space="0" w:color="auto"/>
      </w:divBdr>
    </w:div>
    <w:div w:id="508493895">
      <w:bodyDiv w:val="1"/>
      <w:marLeft w:val="0"/>
      <w:marRight w:val="0"/>
      <w:marTop w:val="0"/>
      <w:marBottom w:val="0"/>
      <w:divBdr>
        <w:top w:val="none" w:sz="0" w:space="0" w:color="auto"/>
        <w:left w:val="none" w:sz="0" w:space="0" w:color="auto"/>
        <w:bottom w:val="none" w:sz="0" w:space="0" w:color="auto"/>
        <w:right w:val="none" w:sz="0" w:space="0" w:color="auto"/>
      </w:divBdr>
    </w:div>
    <w:div w:id="562764506">
      <w:bodyDiv w:val="1"/>
      <w:marLeft w:val="0"/>
      <w:marRight w:val="0"/>
      <w:marTop w:val="0"/>
      <w:marBottom w:val="0"/>
      <w:divBdr>
        <w:top w:val="none" w:sz="0" w:space="0" w:color="auto"/>
        <w:left w:val="none" w:sz="0" w:space="0" w:color="auto"/>
        <w:bottom w:val="none" w:sz="0" w:space="0" w:color="auto"/>
        <w:right w:val="none" w:sz="0" w:space="0" w:color="auto"/>
      </w:divBdr>
    </w:div>
    <w:div w:id="574975523">
      <w:bodyDiv w:val="1"/>
      <w:marLeft w:val="0"/>
      <w:marRight w:val="0"/>
      <w:marTop w:val="0"/>
      <w:marBottom w:val="0"/>
      <w:divBdr>
        <w:top w:val="none" w:sz="0" w:space="0" w:color="auto"/>
        <w:left w:val="none" w:sz="0" w:space="0" w:color="auto"/>
        <w:bottom w:val="none" w:sz="0" w:space="0" w:color="auto"/>
        <w:right w:val="none" w:sz="0" w:space="0" w:color="auto"/>
      </w:divBdr>
    </w:div>
    <w:div w:id="585656172">
      <w:bodyDiv w:val="1"/>
      <w:marLeft w:val="0"/>
      <w:marRight w:val="0"/>
      <w:marTop w:val="0"/>
      <w:marBottom w:val="0"/>
      <w:divBdr>
        <w:top w:val="none" w:sz="0" w:space="0" w:color="auto"/>
        <w:left w:val="none" w:sz="0" w:space="0" w:color="auto"/>
        <w:bottom w:val="none" w:sz="0" w:space="0" w:color="auto"/>
        <w:right w:val="none" w:sz="0" w:space="0" w:color="auto"/>
      </w:divBdr>
    </w:div>
    <w:div w:id="587616585">
      <w:bodyDiv w:val="1"/>
      <w:marLeft w:val="0"/>
      <w:marRight w:val="0"/>
      <w:marTop w:val="0"/>
      <w:marBottom w:val="0"/>
      <w:divBdr>
        <w:top w:val="none" w:sz="0" w:space="0" w:color="auto"/>
        <w:left w:val="none" w:sz="0" w:space="0" w:color="auto"/>
        <w:bottom w:val="none" w:sz="0" w:space="0" w:color="auto"/>
        <w:right w:val="none" w:sz="0" w:space="0" w:color="auto"/>
      </w:divBdr>
    </w:div>
    <w:div w:id="607273013">
      <w:bodyDiv w:val="1"/>
      <w:marLeft w:val="0"/>
      <w:marRight w:val="0"/>
      <w:marTop w:val="0"/>
      <w:marBottom w:val="0"/>
      <w:divBdr>
        <w:top w:val="none" w:sz="0" w:space="0" w:color="auto"/>
        <w:left w:val="none" w:sz="0" w:space="0" w:color="auto"/>
        <w:bottom w:val="none" w:sz="0" w:space="0" w:color="auto"/>
        <w:right w:val="none" w:sz="0" w:space="0" w:color="auto"/>
      </w:divBdr>
    </w:div>
    <w:div w:id="628359721">
      <w:bodyDiv w:val="1"/>
      <w:marLeft w:val="0"/>
      <w:marRight w:val="0"/>
      <w:marTop w:val="0"/>
      <w:marBottom w:val="0"/>
      <w:divBdr>
        <w:top w:val="none" w:sz="0" w:space="0" w:color="auto"/>
        <w:left w:val="none" w:sz="0" w:space="0" w:color="auto"/>
        <w:bottom w:val="none" w:sz="0" w:space="0" w:color="auto"/>
        <w:right w:val="none" w:sz="0" w:space="0" w:color="auto"/>
      </w:divBdr>
    </w:div>
    <w:div w:id="630747706">
      <w:bodyDiv w:val="1"/>
      <w:marLeft w:val="0"/>
      <w:marRight w:val="0"/>
      <w:marTop w:val="0"/>
      <w:marBottom w:val="0"/>
      <w:divBdr>
        <w:top w:val="none" w:sz="0" w:space="0" w:color="auto"/>
        <w:left w:val="none" w:sz="0" w:space="0" w:color="auto"/>
        <w:bottom w:val="none" w:sz="0" w:space="0" w:color="auto"/>
        <w:right w:val="none" w:sz="0" w:space="0" w:color="auto"/>
      </w:divBdr>
    </w:div>
    <w:div w:id="645008072">
      <w:bodyDiv w:val="1"/>
      <w:marLeft w:val="0"/>
      <w:marRight w:val="0"/>
      <w:marTop w:val="0"/>
      <w:marBottom w:val="0"/>
      <w:divBdr>
        <w:top w:val="none" w:sz="0" w:space="0" w:color="auto"/>
        <w:left w:val="none" w:sz="0" w:space="0" w:color="auto"/>
        <w:bottom w:val="none" w:sz="0" w:space="0" w:color="auto"/>
        <w:right w:val="none" w:sz="0" w:space="0" w:color="auto"/>
      </w:divBdr>
    </w:div>
    <w:div w:id="646400991">
      <w:bodyDiv w:val="1"/>
      <w:marLeft w:val="0"/>
      <w:marRight w:val="0"/>
      <w:marTop w:val="0"/>
      <w:marBottom w:val="0"/>
      <w:divBdr>
        <w:top w:val="none" w:sz="0" w:space="0" w:color="auto"/>
        <w:left w:val="none" w:sz="0" w:space="0" w:color="auto"/>
        <w:bottom w:val="none" w:sz="0" w:space="0" w:color="auto"/>
        <w:right w:val="none" w:sz="0" w:space="0" w:color="auto"/>
      </w:divBdr>
    </w:div>
    <w:div w:id="669874909">
      <w:bodyDiv w:val="1"/>
      <w:marLeft w:val="0"/>
      <w:marRight w:val="0"/>
      <w:marTop w:val="0"/>
      <w:marBottom w:val="0"/>
      <w:divBdr>
        <w:top w:val="none" w:sz="0" w:space="0" w:color="auto"/>
        <w:left w:val="none" w:sz="0" w:space="0" w:color="auto"/>
        <w:bottom w:val="none" w:sz="0" w:space="0" w:color="auto"/>
        <w:right w:val="none" w:sz="0" w:space="0" w:color="auto"/>
      </w:divBdr>
    </w:div>
    <w:div w:id="670573143">
      <w:bodyDiv w:val="1"/>
      <w:marLeft w:val="0"/>
      <w:marRight w:val="0"/>
      <w:marTop w:val="0"/>
      <w:marBottom w:val="0"/>
      <w:divBdr>
        <w:top w:val="none" w:sz="0" w:space="0" w:color="auto"/>
        <w:left w:val="none" w:sz="0" w:space="0" w:color="auto"/>
        <w:bottom w:val="none" w:sz="0" w:space="0" w:color="auto"/>
        <w:right w:val="none" w:sz="0" w:space="0" w:color="auto"/>
      </w:divBdr>
    </w:div>
    <w:div w:id="672269685">
      <w:bodyDiv w:val="1"/>
      <w:marLeft w:val="0"/>
      <w:marRight w:val="0"/>
      <w:marTop w:val="0"/>
      <w:marBottom w:val="0"/>
      <w:divBdr>
        <w:top w:val="none" w:sz="0" w:space="0" w:color="auto"/>
        <w:left w:val="none" w:sz="0" w:space="0" w:color="auto"/>
        <w:bottom w:val="none" w:sz="0" w:space="0" w:color="auto"/>
        <w:right w:val="none" w:sz="0" w:space="0" w:color="auto"/>
      </w:divBdr>
    </w:div>
    <w:div w:id="680274943">
      <w:bodyDiv w:val="1"/>
      <w:marLeft w:val="0"/>
      <w:marRight w:val="0"/>
      <w:marTop w:val="0"/>
      <w:marBottom w:val="0"/>
      <w:divBdr>
        <w:top w:val="none" w:sz="0" w:space="0" w:color="auto"/>
        <w:left w:val="none" w:sz="0" w:space="0" w:color="auto"/>
        <w:bottom w:val="none" w:sz="0" w:space="0" w:color="auto"/>
        <w:right w:val="none" w:sz="0" w:space="0" w:color="auto"/>
      </w:divBdr>
    </w:div>
    <w:div w:id="695816198">
      <w:bodyDiv w:val="1"/>
      <w:marLeft w:val="0"/>
      <w:marRight w:val="0"/>
      <w:marTop w:val="0"/>
      <w:marBottom w:val="0"/>
      <w:divBdr>
        <w:top w:val="none" w:sz="0" w:space="0" w:color="auto"/>
        <w:left w:val="none" w:sz="0" w:space="0" w:color="auto"/>
        <w:bottom w:val="none" w:sz="0" w:space="0" w:color="auto"/>
        <w:right w:val="none" w:sz="0" w:space="0" w:color="auto"/>
      </w:divBdr>
    </w:div>
    <w:div w:id="723068772">
      <w:bodyDiv w:val="1"/>
      <w:marLeft w:val="0"/>
      <w:marRight w:val="0"/>
      <w:marTop w:val="0"/>
      <w:marBottom w:val="0"/>
      <w:divBdr>
        <w:top w:val="none" w:sz="0" w:space="0" w:color="auto"/>
        <w:left w:val="none" w:sz="0" w:space="0" w:color="auto"/>
        <w:bottom w:val="none" w:sz="0" w:space="0" w:color="auto"/>
        <w:right w:val="none" w:sz="0" w:space="0" w:color="auto"/>
      </w:divBdr>
    </w:div>
    <w:div w:id="741369402">
      <w:bodyDiv w:val="1"/>
      <w:marLeft w:val="0"/>
      <w:marRight w:val="0"/>
      <w:marTop w:val="0"/>
      <w:marBottom w:val="0"/>
      <w:divBdr>
        <w:top w:val="none" w:sz="0" w:space="0" w:color="auto"/>
        <w:left w:val="none" w:sz="0" w:space="0" w:color="auto"/>
        <w:bottom w:val="none" w:sz="0" w:space="0" w:color="auto"/>
        <w:right w:val="none" w:sz="0" w:space="0" w:color="auto"/>
      </w:divBdr>
    </w:div>
    <w:div w:id="760680287">
      <w:bodyDiv w:val="1"/>
      <w:marLeft w:val="0"/>
      <w:marRight w:val="0"/>
      <w:marTop w:val="0"/>
      <w:marBottom w:val="0"/>
      <w:divBdr>
        <w:top w:val="none" w:sz="0" w:space="0" w:color="auto"/>
        <w:left w:val="none" w:sz="0" w:space="0" w:color="auto"/>
        <w:bottom w:val="none" w:sz="0" w:space="0" w:color="auto"/>
        <w:right w:val="none" w:sz="0" w:space="0" w:color="auto"/>
      </w:divBdr>
    </w:div>
    <w:div w:id="763307278">
      <w:bodyDiv w:val="1"/>
      <w:marLeft w:val="0"/>
      <w:marRight w:val="0"/>
      <w:marTop w:val="0"/>
      <w:marBottom w:val="0"/>
      <w:divBdr>
        <w:top w:val="none" w:sz="0" w:space="0" w:color="auto"/>
        <w:left w:val="none" w:sz="0" w:space="0" w:color="auto"/>
        <w:bottom w:val="none" w:sz="0" w:space="0" w:color="auto"/>
        <w:right w:val="none" w:sz="0" w:space="0" w:color="auto"/>
      </w:divBdr>
    </w:div>
    <w:div w:id="782386876">
      <w:bodyDiv w:val="1"/>
      <w:marLeft w:val="0"/>
      <w:marRight w:val="0"/>
      <w:marTop w:val="0"/>
      <w:marBottom w:val="0"/>
      <w:divBdr>
        <w:top w:val="none" w:sz="0" w:space="0" w:color="auto"/>
        <w:left w:val="none" w:sz="0" w:space="0" w:color="auto"/>
        <w:bottom w:val="none" w:sz="0" w:space="0" w:color="auto"/>
        <w:right w:val="none" w:sz="0" w:space="0" w:color="auto"/>
      </w:divBdr>
    </w:div>
    <w:div w:id="805391834">
      <w:bodyDiv w:val="1"/>
      <w:marLeft w:val="0"/>
      <w:marRight w:val="0"/>
      <w:marTop w:val="0"/>
      <w:marBottom w:val="0"/>
      <w:divBdr>
        <w:top w:val="none" w:sz="0" w:space="0" w:color="auto"/>
        <w:left w:val="none" w:sz="0" w:space="0" w:color="auto"/>
        <w:bottom w:val="none" w:sz="0" w:space="0" w:color="auto"/>
        <w:right w:val="none" w:sz="0" w:space="0" w:color="auto"/>
      </w:divBdr>
    </w:div>
    <w:div w:id="836117010">
      <w:bodyDiv w:val="1"/>
      <w:marLeft w:val="0"/>
      <w:marRight w:val="0"/>
      <w:marTop w:val="0"/>
      <w:marBottom w:val="0"/>
      <w:divBdr>
        <w:top w:val="none" w:sz="0" w:space="0" w:color="auto"/>
        <w:left w:val="none" w:sz="0" w:space="0" w:color="auto"/>
        <w:bottom w:val="none" w:sz="0" w:space="0" w:color="auto"/>
        <w:right w:val="none" w:sz="0" w:space="0" w:color="auto"/>
      </w:divBdr>
    </w:div>
    <w:div w:id="843936900">
      <w:bodyDiv w:val="1"/>
      <w:marLeft w:val="0"/>
      <w:marRight w:val="0"/>
      <w:marTop w:val="0"/>
      <w:marBottom w:val="0"/>
      <w:divBdr>
        <w:top w:val="none" w:sz="0" w:space="0" w:color="auto"/>
        <w:left w:val="none" w:sz="0" w:space="0" w:color="auto"/>
        <w:bottom w:val="none" w:sz="0" w:space="0" w:color="auto"/>
        <w:right w:val="none" w:sz="0" w:space="0" w:color="auto"/>
      </w:divBdr>
    </w:div>
    <w:div w:id="860896871">
      <w:bodyDiv w:val="1"/>
      <w:marLeft w:val="0"/>
      <w:marRight w:val="0"/>
      <w:marTop w:val="0"/>
      <w:marBottom w:val="0"/>
      <w:divBdr>
        <w:top w:val="none" w:sz="0" w:space="0" w:color="auto"/>
        <w:left w:val="none" w:sz="0" w:space="0" w:color="auto"/>
        <w:bottom w:val="none" w:sz="0" w:space="0" w:color="auto"/>
        <w:right w:val="none" w:sz="0" w:space="0" w:color="auto"/>
      </w:divBdr>
    </w:div>
    <w:div w:id="863325888">
      <w:bodyDiv w:val="1"/>
      <w:marLeft w:val="0"/>
      <w:marRight w:val="0"/>
      <w:marTop w:val="0"/>
      <w:marBottom w:val="0"/>
      <w:divBdr>
        <w:top w:val="none" w:sz="0" w:space="0" w:color="auto"/>
        <w:left w:val="none" w:sz="0" w:space="0" w:color="auto"/>
        <w:bottom w:val="none" w:sz="0" w:space="0" w:color="auto"/>
        <w:right w:val="none" w:sz="0" w:space="0" w:color="auto"/>
      </w:divBdr>
    </w:div>
    <w:div w:id="870994303">
      <w:bodyDiv w:val="1"/>
      <w:marLeft w:val="0"/>
      <w:marRight w:val="0"/>
      <w:marTop w:val="0"/>
      <w:marBottom w:val="0"/>
      <w:divBdr>
        <w:top w:val="none" w:sz="0" w:space="0" w:color="auto"/>
        <w:left w:val="none" w:sz="0" w:space="0" w:color="auto"/>
        <w:bottom w:val="none" w:sz="0" w:space="0" w:color="auto"/>
        <w:right w:val="none" w:sz="0" w:space="0" w:color="auto"/>
      </w:divBdr>
    </w:div>
    <w:div w:id="904803021">
      <w:bodyDiv w:val="1"/>
      <w:marLeft w:val="0"/>
      <w:marRight w:val="0"/>
      <w:marTop w:val="0"/>
      <w:marBottom w:val="0"/>
      <w:divBdr>
        <w:top w:val="none" w:sz="0" w:space="0" w:color="auto"/>
        <w:left w:val="none" w:sz="0" w:space="0" w:color="auto"/>
        <w:bottom w:val="none" w:sz="0" w:space="0" w:color="auto"/>
        <w:right w:val="none" w:sz="0" w:space="0" w:color="auto"/>
      </w:divBdr>
    </w:div>
    <w:div w:id="907804680">
      <w:bodyDiv w:val="1"/>
      <w:marLeft w:val="0"/>
      <w:marRight w:val="0"/>
      <w:marTop w:val="0"/>
      <w:marBottom w:val="0"/>
      <w:divBdr>
        <w:top w:val="none" w:sz="0" w:space="0" w:color="auto"/>
        <w:left w:val="none" w:sz="0" w:space="0" w:color="auto"/>
        <w:bottom w:val="none" w:sz="0" w:space="0" w:color="auto"/>
        <w:right w:val="none" w:sz="0" w:space="0" w:color="auto"/>
      </w:divBdr>
    </w:div>
    <w:div w:id="919683338">
      <w:bodyDiv w:val="1"/>
      <w:marLeft w:val="0"/>
      <w:marRight w:val="0"/>
      <w:marTop w:val="0"/>
      <w:marBottom w:val="0"/>
      <w:divBdr>
        <w:top w:val="none" w:sz="0" w:space="0" w:color="auto"/>
        <w:left w:val="none" w:sz="0" w:space="0" w:color="auto"/>
        <w:bottom w:val="none" w:sz="0" w:space="0" w:color="auto"/>
        <w:right w:val="none" w:sz="0" w:space="0" w:color="auto"/>
      </w:divBdr>
    </w:div>
    <w:div w:id="931822187">
      <w:bodyDiv w:val="1"/>
      <w:marLeft w:val="0"/>
      <w:marRight w:val="0"/>
      <w:marTop w:val="0"/>
      <w:marBottom w:val="0"/>
      <w:divBdr>
        <w:top w:val="none" w:sz="0" w:space="0" w:color="auto"/>
        <w:left w:val="none" w:sz="0" w:space="0" w:color="auto"/>
        <w:bottom w:val="none" w:sz="0" w:space="0" w:color="auto"/>
        <w:right w:val="none" w:sz="0" w:space="0" w:color="auto"/>
      </w:divBdr>
    </w:div>
    <w:div w:id="980842445">
      <w:bodyDiv w:val="1"/>
      <w:marLeft w:val="0"/>
      <w:marRight w:val="0"/>
      <w:marTop w:val="0"/>
      <w:marBottom w:val="0"/>
      <w:divBdr>
        <w:top w:val="none" w:sz="0" w:space="0" w:color="auto"/>
        <w:left w:val="none" w:sz="0" w:space="0" w:color="auto"/>
        <w:bottom w:val="none" w:sz="0" w:space="0" w:color="auto"/>
        <w:right w:val="none" w:sz="0" w:space="0" w:color="auto"/>
      </w:divBdr>
    </w:div>
    <w:div w:id="983123307">
      <w:bodyDiv w:val="1"/>
      <w:marLeft w:val="0"/>
      <w:marRight w:val="0"/>
      <w:marTop w:val="0"/>
      <w:marBottom w:val="0"/>
      <w:divBdr>
        <w:top w:val="none" w:sz="0" w:space="0" w:color="auto"/>
        <w:left w:val="none" w:sz="0" w:space="0" w:color="auto"/>
        <w:bottom w:val="none" w:sz="0" w:space="0" w:color="auto"/>
        <w:right w:val="none" w:sz="0" w:space="0" w:color="auto"/>
      </w:divBdr>
    </w:div>
    <w:div w:id="1058479347">
      <w:bodyDiv w:val="1"/>
      <w:marLeft w:val="0"/>
      <w:marRight w:val="0"/>
      <w:marTop w:val="0"/>
      <w:marBottom w:val="0"/>
      <w:divBdr>
        <w:top w:val="none" w:sz="0" w:space="0" w:color="auto"/>
        <w:left w:val="none" w:sz="0" w:space="0" w:color="auto"/>
        <w:bottom w:val="none" w:sz="0" w:space="0" w:color="auto"/>
        <w:right w:val="none" w:sz="0" w:space="0" w:color="auto"/>
      </w:divBdr>
    </w:div>
    <w:div w:id="1079788764">
      <w:bodyDiv w:val="1"/>
      <w:marLeft w:val="0"/>
      <w:marRight w:val="0"/>
      <w:marTop w:val="0"/>
      <w:marBottom w:val="0"/>
      <w:divBdr>
        <w:top w:val="none" w:sz="0" w:space="0" w:color="auto"/>
        <w:left w:val="none" w:sz="0" w:space="0" w:color="auto"/>
        <w:bottom w:val="none" w:sz="0" w:space="0" w:color="auto"/>
        <w:right w:val="none" w:sz="0" w:space="0" w:color="auto"/>
      </w:divBdr>
    </w:div>
    <w:div w:id="1079979621">
      <w:bodyDiv w:val="1"/>
      <w:marLeft w:val="0"/>
      <w:marRight w:val="0"/>
      <w:marTop w:val="0"/>
      <w:marBottom w:val="0"/>
      <w:divBdr>
        <w:top w:val="none" w:sz="0" w:space="0" w:color="auto"/>
        <w:left w:val="none" w:sz="0" w:space="0" w:color="auto"/>
        <w:bottom w:val="none" w:sz="0" w:space="0" w:color="auto"/>
        <w:right w:val="none" w:sz="0" w:space="0" w:color="auto"/>
      </w:divBdr>
    </w:div>
    <w:div w:id="1089279650">
      <w:bodyDiv w:val="1"/>
      <w:marLeft w:val="0"/>
      <w:marRight w:val="0"/>
      <w:marTop w:val="0"/>
      <w:marBottom w:val="0"/>
      <w:divBdr>
        <w:top w:val="none" w:sz="0" w:space="0" w:color="auto"/>
        <w:left w:val="none" w:sz="0" w:space="0" w:color="auto"/>
        <w:bottom w:val="none" w:sz="0" w:space="0" w:color="auto"/>
        <w:right w:val="none" w:sz="0" w:space="0" w:color="auto"/>
      </w:divBdr>
    </w:div>
    <w:div w:id="1092702776">
      <w:bodyDiv w:val="1"/>
      <w:marLeft w:val="0"/>
      <w:marRight w:val="0"/>
      <w:marTop w:val="0"/>
      <w:marBottom w:val="0"/>
      <w:divBdr>
        <w:top w:val="none" w:sz="0" w:space="0" w:color="auto"/>
        <w:left w:val="none" w:sz="0" w:space="0" w:color="auto"/>
        <w:bottom w:val="none" w:sz="0" w:space="0" w:color="auto"/>
        <w:right w:val="none" w:sz="0" w:space="0" w:color="auto"/>
      </w:divBdr>
    </w:div>
    <w:div w:id="1111629141">
      <w:bodyDiv w:val="1"/>
      <w:marLeft w:val="0"/>
      <w:marRight w:val="0"/>
      <w:marTop w:val="0"/>
      <w:marBottom w:val="0"/>
      <w:divBdr>
        <w:top w:val="none" w:sz="0" w:space="0" w:color="auto"/>
        <w:left w:val="none" w:sz="0" w:space="0" w:color="auto"/>
        <w:bottom w:val="none" w:sz="0" w:space="0" w:color="auto"/>
        <w:right w:val="none" w:sz="0" w:space="0" w:color="auto"/>
      </w:divBdr>
    </w:div>
    <w:div w:id="1114136130">
      <w:bodyDiv w:val="1"/>
      <w:marLeft w:val="0"/>
      <w:marRight w:val="0"/>
      <w:marTop w:val="0"/>
      <w:marBottom w:val="0"/>
      <w:divBdr>
        <w:top w:val="none" w:sz="0" w:space="0" w:color="auto"/>
        <w:left w:val="none" w:sz="0" w:space="0" w:color="auto"/>
        <w:bottom w:val="none" w:sz="0" w:space="0" w:color="auto"/>
        <w:right w:val="none" w:sz="0" w:space="0" w:color="auto"/>
      </w:divBdr>
    </w:div>
    <w:div w:id="1115294857">
      <w:bodyDiv w:val="1"/>
      <w:marLeft w:val="0"/>
      <w:marRight w:val="0"/>
      <w:marTop w:val="0"/>
      <w:marBottom w:val="0"/>
      <w:divBdr>
        <w:top w:val="none" w:sz="0" w:space="0" w:color="auto"/>
        <w:left w:val="none" w:sz="0" w:space="0" w:color="auto"/>
        <w:bottom w:val="none" w:sz="0" w:space="0" w:color="auto"/>
        <w:right w:val="none" w:sz="0" w:space="0" w:color="auto"/>
      </w:divBdr>
    </w:div>
    <w:div w:id="1157451738">
      <w:bodyDiv w:val="1"/>
      <w:marLeft w:val="0"/>
      <w:marRight w:val="0"/>
      <w:marTop w:val="0"/>
      <w:marBottom w:val="0"/>
      <w:divBdr>
        <w:top w:val="none" w:sz="0" w:space="0" w:color="auto"/>
        <w:left w:val="none" w:sz="0" w:space="0" w:color="auto"/>
        <w:bottom w:val="none" w:sz="0" w:space="0" w:color="auto"/>
        <w:right w:val="none" w:sz="0" w:space="0" w:color="auto"/>
      </w:divBdr>
    </w:div>
    <w:div w:id="1165129978">
      <w:bodyDiv w:val="1"/>
      <w:marLeft w:val="0"/>
      <w:marRight w:val="0"/>
      <w:marTop w:val="0"/>
      <w:marBottom w:val="0"/>
      <w:divBdr>
        <w:top w:val="none" w:sz="0" w:space="0" w:color="auto"/>
        <w:left w:val="none" w:sz="0" w:space="0" w:color="auto"/>
        <w:bottom w:val="none" w:sz="0" w:space="0" w:color="auto"/>
        <w:right w:val="none" w:sz="0" w:space="0" w:color="auto"/>
      </w:divBdr>
    </w:div>
    <w:div w:id="1178159210">
      <w:bodyDiv w:val="1"/>
      <w:marLeft w:val="0"/>
      <w:marRight w:val="0"/>
      <w:marTop w:val="0"/>
      <w:marBottom w:val="0"/>
      <w:divBdr>
        <w:top w:val="none" w:sz="0" w:space="0" w:color="auto"/>
        <w:left w:val="none" w:sz="0" w:space="0" w:color="auto"/>
        <w:bottom w:val="none" w:sz="0" w:space="0" w:color="auto"/>
        <w:right w:val="none" w:sz="0" w:space="0" w:color="auto"/>
      </w:divBdr>
    </w:div>
    <w:div w:id="1213811207">
      <w:bodyDiv w:val="1"/>
      <w:marLeft w:val="0"/>
      <w:marRight w:val="0"/>
      <w:marTop w:val="0"/>
      <w:marBottom w:val="0"/>
      <w:divBdr>
        <w:top w:val="none" w:sz="0" w:space="0" w:color="auto"/>
        <w:left w:val="none" w:sz="0" w:space="0" w:color="auto"/>
        <w:bottom w:val="none" w:sz="0" w:space="0" w:color="auto"/>
        <w:right w:val="none" w:sz="0" w:space="0" w:color="auto"/>
      </w:divBdr>
    </w:div>
    <w:div w:id="1218053941">
      <w:bodyDiv w:val="1"/>
      <w:marLeft w:val="0"/>
      <w:marRight w:val="0"/>
      <w:marTop w:val="0"/>
      <w:marBottom w:val="0"/>
      <w:divBdr>
        <w:top w:val="none" w:sz="0" w:space="0" w:color="auto"/>
        <w:left w:val="none" w:sz="0" w:space="0" w:color="auto"/>
        <w:bottom w:val="none" w:sz="0" w:space="0" w:color="auto"/>
        <w:right w:val="none" w:sz="0" w:space="0" w:color="auto"/>
      </w:divBdr>
    </w:div>
    <w:div w:id="1234585532">
      <w:bodyDiv w:val="1"/>
      <w:marLeft w:val="0"/>
      <w:marRight w:val="0"/>
      <w:marTop w:val="0"/>
      <w:marBottom w:val="0"/>
      <w:divBdr>
        <w:top w:val="none" w:sz="0" w:space="0" w:color="auto"/>
        <w:left w:val="none" w:sz="0" w:space="0" w:color="auto"/>
        <w:bottom w:val="none" w:sz="0" w:space="0" w:color="auto"/>
        <w:right w:val="none" w:sz="0" w:space="0" w:color="auto"/>
      </w:divBdr>
    </w:div>
    <w:div w:id="1274945978">
      <w:bodyDiv w:val="1"/>
      <w:marLeft w:val="0"/>
      <w:marRight w:val="0"/>
      <w:marTop w:val="0"/>
      <w:marBottom w:val="0"/>
      <w:divBdr>
        <w:top w:val="none" w:sz="0" w:space="0" w:color="auto"/>
        <w:left w:val="none" w:sz="0" w:space="0" w:color="auto"/>
        <w:bottom w:val="none" w:sz="0" w:space="0" w:color="auto"/>
        <w:right w:val="none" w:sz="0" w:space="0" w:color="auto"/>
      </w:divBdr>
    </w:div>
    <w:div w:id="1288121663">
      <w:bodyDiv w:val="1"/>
      <w:marLeft w:val="0"/>
      <w:marRight w:val="0"/>
      <w:marTop w:val="0"/>
      <w:marBottom w:val="0"/>
      <w:divBdr>
        <w:top w:val="none" w:sz="0" w:space="0" w:color="auto"/>
        <w:left w:val="none" w:sz="0" w:space="0" w:color="auto"/>
        <w:bottom w:val="none" w:sz="0" w:space="0" w:color="auto"/>
        <w:right w:val="none" w:sz="0" w:space="0" w:color="auto"/>
      </w:divBdr>
    </w:div>
    <w:div w:id="1317494591">
      <w:bodyDiv w:val="1"/>
      <w:marLeft w:val="0"/>
      <w:marRight w:val="0"/>
      <w:marTop w:val="0"/>
      <w:marBottom w:val="0"/>
      <w:divBdr>
        <w:top w:val="none" w:sz="0" w:space="0" w:color="auto"/>
        <w:left w:val="none" w:sz="0" w:space="0" w:color="auto"/>
        <w:bottom w:val="none" w:sz="0" w:space="0" w:color="auto"/>
        <w:right w:val="none" w:sz="0" w:space="0" w:color="auto"/>
      </w:divBdr>
    </w:div>
    <w:div w:id="1317800795">
      <w:bodyDiv w:val="1"/>
      <w:marLeft w:val="0"/>
      <w:marRight w:val="0"/>
      <w:marTop w:val="0"/>
      <w:marBottom w:val="0"/>
      <w:divBdr>
        <w:top w:val="none" w:sz="0" w:space="0" w:color="auto"/>
        <w:left w:val="none" w:sz="0" w:space="0" w:color="auto"/>
        <w:bottom w:val="none" w:sz="0" w:space="0" w:color="auto"/>
        <w:right w:val="none" w:sz="0" w:space="0" w:color="auto"/>
      </w:divBdr>
    </w:div>
    <w:div w:id="1359156640">
      <w:bodyDiv w:val="1"/>
      <w:marLeft w:val="0"/>
      <w:marRight w:val="0"/>
      <w:marTop w:val="0"/>
      <w:marBottom w:val="0"/>
      <w:divBdr>
        <w:top w:val="none" w:sz="0" w:space="0" w:color="auto"/>
        <w:left w:val="none" w:sz="0" w:space="0" w:color="auto"/>
        <w:bottom w:val="none" w:sz="0" w:space="0" w:color="auto"/>
        <w:right w:val="none" w:sz="0" w:space="0" w:color="auto"/>
      </w:divBdr>
    </w:div>
    <w:div w:id="1360200506">
      <w:bodyDiv w:val="1"/>
      <w:marLeft w:val="0"/>
      <w:marRight w:val="0"/>
      <w:marTop w:val="0"/>
      <w:marBottom w:val="0"/>
      <w:divBdr>
        <w:top w:val="none" w:sz="0" w:space="0" w:color="auto"/>
        <w:left w:val="none" w:sz="0" w:space="0" w:color="auto"/>
        <w:bottom w:val="none" w:sz="0" w:space="0" w:color="auto"/>
        <w:right w:val="none" w:sz="0" w:space="0" w:color="auto"/>
      </w:divBdr>
    </w:div>
    <w:div w:id="1367828791">
      <w:bodyDiv w:val="1"/>
      <w:marLeft w:val="0"/>
      <w:marRight w:val="0"/>
      <w:marTop w:val="0"/>
      <w:marBottom w:val="0"/>
      <w:divBdr>
        <w:top w:val="none" w:sz="0" w:space="0" w:color="auto"/>
        <w:left w:val="none" w:sz="0" w:space="0" w:color="auto"/>
        <w:bottom w:val="none" w:sz="0" w:space="0" w:color="auto"/>
        <w:right w:val="none" w:sz="0" w:space="0" w:color="auto"/>
      </w:divBdr>
    </w:div>
    <w:div w:id="1372461831">
      <w:bodyDiv w:val="1"/>
      <w:marLeft w:val="0"/>
      <w:marRight w:val="0"/>
      <w:marTop w:val="0"/>
      <w:marBottom w:val="0"/>
      <w:divBdr>
        <w:top w:val="none" w:sz="0" w:space="0" w:color="auto"/>
        <w:left w:val="none" w:sz="0" w:space="0" w:color="auto"/>
        <w:bottom w:val="none" w:sz="0" w:space="0" w:color="auto"/>
        <w:right w:val="none" w:sz="0" w:space="0" w:color="auto"/>
      </w:divBdr>
    </w:div>
    <w:div w:id="1383406780">
      <w:bodyDiv w:val="1"/>
      <w:marLeft w:val="0"/>
      <w:marRight w:val="0"/>
      <w:marTop w:val="0"/>
      <w:marBottom w:val="0"/>
      <w:divBdr>
        <w:top w:val="none" w:sz="0" w:space="0" w:color="auto"/>
        <w:left w:val="none" w:sz="0" w:space="0" w:color="auto"/>
        <w:bottom w:val="none" w:sz="0" w:space="0" w:color="auto"/>
        <w:right w:val="none" w:sz="0" w:space="0" w:color="auto"/>
      </w:divBdr>
    </w:div>
    <w:div w:id="1417436809">
      <w:bodyDiv w:val="1"/>
      <w:marLeft w:val="0"/>
      <w:marRight w:val="0"/>
      <w:marTop w:val="0"/>
      <w:marBottom w:val="0"/>
      <w:divBdr>
        <w:top w:val="none" w:sz="0" w:space="0" w:color="auto"/>
        <w:left w:val="none" w:sz="0" w:space="0" w:color="auto"/>
        <w:bottom w:val="none" w:sz="0" w:space="0" w:color="auto"/>
        <w:right w:val="none" w:sz="0" w:space="0" w:color="auto"/>
      </w:divBdr>
    </w:div>
    <w:div w:id="1423140912">
      <w:bodyDiv w:val="1"/>
      <w:marLeft w:val="0"/>
      <w:marRight w:val="0"/>
      <w:marTop w:val="0"/>
      <w:marBottom w:val="0"/>
      <w:divBdr>
        <w:top w:val="none" w:sz="0" w:space="0" w:color="auto"/>
        <w:left w:val="none" w:sz="0" w:space="0" w:color="auto"/>
        <w:bottom w:val="none" w:sz="0" w:space="0" w:color="auto"/>
        <w:right w:val="none" w:sz="0" w:space="0" w:color="auto"/>
      </w:divBdr>
    </w:div>
    <w:div w:id="1432974167">
      <w:bodyDiv w:val="1"/>
      <w:marLeft w:val="0"/>
      <w:marRight w:val="0"/>
      <w:marTop w:val="0"/>
      <w:marBottom w:val="0"/>
      <w:divBdr>
        <w:top w:val="none" w:sz="0" w:space="0" w:color="auto"/>
        <w:left w:val="none" w:sz="0" w:space="0" w:color="auto"/>
        <w:bottom w:val="none" w:sz="0" w:space="0" w:color="auto"/>
        <w:right w:val="none" w:sz="0" w:space="0" w:color="auto"/>
      </w:divBdr>
    </w:div>
    <w:div w:id="1433473667">
      <w:bodyDiv w:val="1"/>
      <w:marLeft w:val="0"/>
      <w:marRight w:val="0"/>
      <w:marTop w:val="0"/>
      <w:marBottom w:val="0"/>
      <w:divBdr>
        <w:top w:val="none" w:sz="0" w:space="0" w:color="auto"/>
        <w:left w:val="none" w:sz="0" w:space="0" w:color="auto"/>
        <w:bottom w:val="none" w:sz="0" w:space="0" w:color="auto"/>
        <w:right w:val="none" w:sz="0" w:space="0" w:color="auto"/>
      </w:divBdr>
    </w:div>
    <w:div w:id="1439135757">
      <w:bodyDiv w:val="1"/>
      <w:marLeft w:val="0"/>
      <w:marRight w:val="0"/>
      <w:marTop w:val="0"/>
      <w:marBottom w:val="0"/>
      <w:divBdr>
        <w:top w:val="none" w:sz="0" w:space="0" w:color="auto"/>
        <w:left w:val="none" w:sz="0" w:space="0" w:color="auto"/>
        <w:bottom w:val="none" w:sz="0" w:space="0" w:color="auto"/>
        <w:right w:val="none" w:sz="0" w:space="0" w:color="auto"/>
      </w:divBdr>
    </w:div>
    <w:div w:id="1446540240">
      <w:bodyDiv w:val="1"/>
      <w:marLeft w:val="0"/>
      <w:marRight w:val="0"/>
      <w:marTop w:val="0"/>
      <w:marBottom w:val="0"/>
      <w:divBdr>
        <w:top w:val="none" w:sz="0" w:space="0" w:color="auto"/>
        <w:left w:val="none" w:sz="0" w:space="0" w:color="auto"/>
        <w:bottom w:val="none" w:sz="0" w:space="0" w:color="auto"/>
        <w:right w:val="none" w:sz="0" w:space="0" w:color="auto"/>
      </w:divBdr>
    </w:div>
    <w:div w:id="1513908508">
      <w:bodyDiv w:val="1"/>
      <w:marLeft w:val="0"/>
      <w:marRight w:val="0"/>
      <w:marTop w:val="0"/>
      <w:marBottom w:val="0"/>
      <w:divBdr>
        <w:top w:val="none" w:sz="0" w:space="0" w:color="auto"/>
        <w:left w:val="none" w:sz="0" w:space="0" w:color="auto"/>
        <w:bottom w:val="none" w:sz="0" w:space="0" w:color="auto"/>
        <w:right w:val="none" w:sz="0" w:space="0" w:color="auto"/>
      </w:divBdr>
    </w:div>
    <w:div w:id="1523351232">
      <w:bodyDiv w:val="1"/>
      <w:marLeft w:val="0"/>
      <w:marRight w:val="0"/>
      <w:marTop w:val="0"/>
      <w:marBottom w:val="0"/>
      <w:divBdr>
        <w:top w:val="none" w:sz="0" w:space="0" w:color="auto"/>
        <w:left w:val="none" w:sz="0" w:space="0" w:color="auto"/>
        <w:bottom w:val="none" w:sz="0" w:space="0" w:color="auto"/>
        <w:right w:val="none" w:sz="0" w:space="0" w:color="auto"/>
      </w:divBdr>
    </w:div>
    <w:div w:id="1536387167">
      <w:bodyDiv w:val="1"/>
      <w:marLeft w:val="0"/>
      <w:marRight w:val="0"/>
      <w:marTop w:val="0"/>
      <w:marBottom w:val="0"/>
      <w:divBdr>
        <w:top w:val="none" w:sz="0" w:space="0" w:color="auto"/>
        <w:left w:val="none" w:sz="0" w:space="0" w:color="auto"/>
        <w:bottom w:val="none" w:sz="0" w:space="0" w:color="auto"/>
        <w:right w:val="none" w:sz="0" w:space="0" w:color="auto"/>
      </w:divBdr>
    </w:div>
    <w:div w:id="1549799167">
      <w:bodyDiv w:val="1"/>
      <w:marLeft w:val="0"/>
      <w:marRight w:val="0"/>
      <w:marTop w:val="0"/>
      <w:marBottom w:val="0"/>
      <w:divBdr>
        <w:top w:val="none" w:sz="0" w:space="0" w:color="auto"/>
        <w:left w:val="none" w:sz="0" w:space="0" w:color="auto"/>
        <w:bottom w:val="none" w:sz="0" w:space="0" w:color="auto"/>
        <w:right w:val="none" w:sz="0" w:space="0" w:color="auto"/>
      </w:divBdr>
    </w:div>
    <w:div w:id="1576862085">
      <w:bodyDiv w:val="1"/>
      <w:marLeft w:val="0"/>
      <w:marRight w:val="0"/>
      <w:marTop w:val="0"/>
      <w:marBottom w:val="0"/>
      <w:divBdr>
        <w:top w:val="none" w:sz="0" w:space="0" w:color="auto"/>
        <w:left w:val="none" w:sz="0" w:space="0" w:color="auto"/>
        <w:bottom w:val="none" w:sz="0" w:space="0" w:color="auto"/>
        <w:right w:val="none" w:sz="0" w:space="0" w:color="auto"/>
      </w:divBdr>
    </w:div>
    <w:div w:id="1589343932">
      <w:bodyDiv w:val="1"/>
      <w:marLeft w:val="0"/>
      <w:marRight w:val="0"/>
      <w:marTop w:val="0"/>
      <w:marBottom w:val="0"/>
      <w:divBdr>
        <w:top w:val="none" w:sz="0" w:space="0" w:color="auto"/>
        <w:left w:val="none" w:sz="0" w:space="0" w:color="auto"/>
        <w:bottom w:val="none" w:sz="0" w:space="0" w:color="auto"/>
        <w:right w:val="none" w:sz="0" w:space="0" w:color="auto"/>
      </w:divBdr>
    </w:div>
    <w:div w:id="1610359992">
      <w:bodyDiv w:val="1"/>
      <w:marLeft w:val="0"/>
      <w:marRight w:val="0"/>
      <w:marTop w:val="0"/>
      <w:marBottom w:val="0"/>
      <w:divBdr>
        <w:top w:val="none" w:sz="0" w:space="0" w:color="auto"/>
        <w:left w:val="none" w:sz="0" w:space="0" w:color="auto"/>
        <w:bottom w:val="none" w:sz="0" w:space="0" w:color="auto"/>
        <w:right w:val="none" w:sz="0" w:space="0" w:color="auto"/>
      </w:divBdr>
    </w:div>
    <w:div w:id="1633899960">
      <w:bodyDiv w:val="1"/>
      <w:marLeft w:val="0"/>
      <w:marRight w:val="0"/>
      <w:marTop w:val="0"/>
      <w:marBottom w:val="0"/>
      <w:divBdr>
        <w:top w:val="none" w:sz="0" w:space="0" w:color="auto"/>
        <w:left w:val="none" w:sz="0" w:space="0" w:color="auto"/>
        <w:bottom w:val="none" w:sz="0" w:space="0" w:color="auto"/>
        <w:right w:val="none" w:sz="0" w:space="0" w:color="auto"/>
      </w:divBdr>
    </w:div>
    <w:div w:id="1634408751">
      <w:bodyDiv w:val="1"/>
      <w:marLeft w:val="0"/>
      <w:marRight w:val="0"/>
      <w:marTop w:val="0"/>
      <w:marBottom w:val="0"/>
      <w:divBdr>
        <w:top w:val="none" w:sz="0" w:space="0" w:color="auto"/>
        <w:left w:val="none" w:sz="0" w:space="0" w:color="auto"/>
        <w:bottom w:val="none" w:sz="0" w:space="0" w:color="auto"/>
        <w:right w:val="none" w:sz="0" w:space="0" w:color="auto"/>
      </w:divBdr>
    </w:div>
    <w:div w:id="1642298638">
      <w:bodyDiv w:val="1"/>
      <w:marLeft w:val="0"/>
      <w:marRight w:val="0"/>
      <w:marTop w:val="0"/>
      <w:marBottom w:val="0"/>
      <w:divBdr>
        <w:top w:val="none" w:sz="0" w:space="0" w:color="auto"/>
        <w:left w:val="none" w:sz="0" w:space="0" w:color="auto"/>
        <w:bottom w:val="none" w:sz="0" w:space="0" w:color="auto"/>
        <w:right w:val="none" w:sz="0" w:space="0" w:color="auto"/>
      </w:divBdr>
    </w:div>
    <w:div w:id="1670719673">
      <w:bodyDiv w:val="1"/>
      <w:marLeft w:val="0"/>
      <w:marRight w:val="0"/>
      <w:marTop w:val="0"/>
      <w:marBottom w:val="0"/>
      <w:divBdr>
        <w:top w:val="none" w:sz="0" w:space="0" w:color="auto"/>
        <w:left w:val="none" w:sz="0" w:space="0" w:color="auto"/>
        <w:bottom w:val="none" w:sz="0" w:space="0" w:color="auto"/>
        <w:right w:val="none" w:sz="0" w:space="0" w:color="auto"/>
      </w:divBdr>
    </w:div>
    <w:div w:id="1695769831">
      <w:bodyDiv w:val="1"/>
      <w:marLeft w:val="0"/>
      <w:marRight w:val="0"/>
      <w:marTop w:val="0"/>
      <w:marBottom w:val="0"/>
      <w:divBdr>
        <w:top w:val="none" w:sz="0" w:space="0" w:color="auto"/>
        <w:left w:val="none" w:sz="0" w:space="0" w:color="auto"/>
        <w:bottom w:val="none" w:sz="0" w:space="0" w:color="auto"/>
        <w:right w:val="none" w:sz="0" w:space="0" w:color="auto"/>
      </w:divBdr>
    </w:div>
    <w:div w:id="1701542954">
      <w:bodyDiv w:val="1"/>
      <w:marLeft w:val="0"/>
      <w:marRight w:val="0"/>
      <w:marTop w:val="0"/>
      <w:marBottom w:val="0"/>
      <w:divBdr>
        <w:top w:val="none" w:sz="0" w:space="0" w:color="auto"/>
        <w:left w:val="none" w:sz="0" w:space="0" w:color="auto"/>
        <w:bottom w:val="none" w:sz="0" w:space="0" w:color="auto"/>
        <w:right w:val="none" w:sz="0" w:space="0" w:color="auto"/>
      </w:divBdr>
    </w:div>
    <w:div w:id="1703941410">
      <w:bodyDiv w:val="1"/>
      <w:marLeft w:val="0"/>
      <w:marRight w:val="0"/>
      <w:marTop w:val="0"/>
      <w:marBottom w:val="0"/>
      <w:divBdr>
        <w:top w:val="none" w:sz="0" w:space="0" w:color="auto"/>
        <w:left w:val="none" w:sz="0" w:space="0" w:color="auto"/>
        <w:bottom w:val="none" w:sz="0" w:space="0" w:color="auto"/>
        <w:right w:val="none" w:sz="0" w:space="0" w:color="auto"/>
      </w:divBdr>
    </w:div>
    <w:div w:id="1752967364">
      <w:bodyDiv w:val="1"/>
      <w:marLeft w:val="0"/>
      <w:marRight w:val="0"/>
      <w:marTop w:val="0"/>
      <w:marBottom w:val="0"/>
      <w:divBdr>
        <w:top w:val="none" w:sz="0" w:space="0" w:color="auto"/>
        <w:left w:val="none" w:sz="0" w:space="0" w:color="auto"/>
        <w:bottom w:val="none" w:sz="0" w:space="0" w:color="auto"/>
        <w:right w:val="none" w:sz="0" w:space="0" w:color="auto"/>
      </w:divBdr>
    </w:div>
    <w:div w:id="1756705591">
      <w:bodyDiv w:val="1"/>
      <w:marLeft w:val="0"/>
      <w:marRight w:val="0"/>
      <w:marTop w:val="0"/>
      <w:marBottom w:val="0"/>
      <w:divBdr>
        <w:top w:val="none" w:sz="0" w:space="0" w:color="auto"/>
        <w:left w:val="none" w:sz="0" w:space="0" w:color="auto"/>
        <w:bottom w:val="none" w:sz="0" w:space="0" w:color="auto"/>
        <w:right w:val="none" w:sz="0" w:space="0" w:color="auto"/>
      </w:divBdr>
    </w:div>
    <w:div w:id="1819036145">
      <w:bodyDiv w:val="1"/>
      <w:marLeft w:val="0"/>
      <w:marRight w:val="0"/>
      <w:marTop w:val="0"/>
      <w:marBottom w:val="0"/>
      <w:divBdr>
        <w:top w:val="none" w:sz="0" w:space="0" w:color="auto"/>
        <w:left w:val="none" w:sz="0" w:space="0" w:color="auto"/>
        <w:bottom w:val="none" w:sz="0" w:space="0" w:color="auto"/>
        <w:right w:val="none" w:sz="0" w:space="0" w:color="auto"/>
      </w:divBdr>
    </w:div>
    <w:div w:id="1823958526">
      <w:bodyDiv w:val="1"/>
      <w:marLeft w:val="0"/>
      <w:marRight w:val="0"/>
      <w:marTop w:val="0"/>
      <w:marBottom w:val="0"/>
      <w:divBdr>
        <w:top w:val="none" w:sz="0" w:space="0" w:color="auto"/>
        <w:left w:val="none" w:sz="0" w:space="0" w:color="auto"/>
        <w:bottom w:val="none" w:sz="0" w:space="0" w:color="auto"/>
        <w:right w:val="none" w:sz="0" w:space="0" w:color="auto"/>
      </w:divBdr>
    </w:div>
    <w:div w:id="1835339658">
      <w:bodyDiv w:val="1"/>
      <w:marLeft w:val="0"/>
      <w:marRight w:val="0"/>
      <w:marTop w:val="0"/>
      <w:marBottom w:val="0"/>
      <w:divBdr>
        <w:top w:val="none" w:sz="0" w:space="0" w:color="auto"/>
        <w:left w:val="none" w:sz="0" w:space="0" w:color="auto"/>
        <w:bottom w:val="none" w:sz="0" w:space="0" w:color="auto"/>
        <w:right w:val="none" w:sz="0" w:space="0" w:color="auto"/>
      </w:divBdr>
    </w:div>
    <w:div w:id="1853563286">
      <w:bodyDiv w:val="1"/>
      <w:marLeft w:val="0"/>
      <w:marRight w:val="0"/>
      <w:marTop w:val="0"/>
      <w:marBottom w:val="0"/>
      <w:divBdr>
        <w:top w:val="none" w:sz="0" w:space="0" w:color="auto"/>
        <w:left w:val="none" w:sz="0" w:space="0" w:color="auto"/>
        <w:bottom w:val="none" w:sz="0" w:space="0" w:color="auto"/>
        <w:right w:val="none" w:sz="0" w:space="0" w:color="auto"/>
      </w:divBdr>
    </w:div>
    <w:div w:id="1856456126">
      <w:bodyDiv w:val="1"/>
      <w:marLeft w:val="0"/>
      <w:marRight w:val="0"/>
      <w:marTop w:val="0"/>
      <w:marBottom w:val="0"/>
      <w:divBdr>
        <w:top w:val="none" w:sz="0" w:space="0" w:color="auto"/>
        <w:left w:val="none" w:sz="0" w:space="0" w:color="auto"/>
        <w:bottom w:val="none" w:sz="0" w:space="0" w:color="auto"/>
        <w:right w:val="none" w:sz="0" w:space="0" w:color="auto"/>
      </w:divBdr>
    </w:div>
    <w:div w:id="1863400039">
      <w:bodyDiv w:val="1"/>
      <w:marLeft w:val="0"/>
      <w:marRight w:val="0"/>
      <w:marTop w:val="0"/>
      <w:marBottom w:val="0"/>
      <w:divBdr>
        <w:top w:val="none" w:sz="0" w:space="0" w:color="auto"/>
        <w:left w:val="none" w:sz="0" w:space="0" w:color="auto"/>
        <w:bottom w:val="none" w:sz="0" w:space="0" w:color="auto"/>
        <w:right w:val="none" w:sz="0" w:space="0" w:color="auto"/>
      </w:divBdr>
    </w:div>
    <w:div w:id="1885093715">
      <w:bodyDiv w:val="1"/>
      <w:marLeft w:val="0"/>
      <w:marRight w:val="0"/>
      <w:marTop w:val="0"/>
      <w:marBottom w:val="0"/>
      <w:divBdr>
        <w:top w:val="none" w:sz="0" w:space="0" w:color="auto"/>
        <w:left w:val="none" w:sz="0" w:space="0" w:color="auto"/>
        <w:bottom w:val="none" w:sz="0" w:space="0" w:color="auto"/>
        <w:right w:val="none" w:sz="0" w:space="0" w:color="auto"/>
      </w:divBdr>
    </w:div>
    <w:div w:id="1907639205">
      <w:bodyDiv w:val="1"/>
      <w:marLeft w:val="0"/>
      <w:marRight w:val="0"/>
      <w:marTop w:val="0"/>
      <w:marBottom w:val="0"/>
      <w:divBdr>
        <w:top w:val="none" w:sz="0" w:space="0" w:color="auto"/>
        <w:left w:val="none" w:sz="0" w:space="0" w:color="auto"/>
        <w:bottom w:val="none" w:sz="0" w:space="0" w:color="auto"/>
        <w:right w:val="none" w:sz="0" w:space="0" w:color="auto"/>
      </w:divBdr>
    </w:div>
    <w:div w:id="1927495131">
      <w:bodyDiv w:val="1"/>
      <w:marLeft w:val="0"/>
      <w:marRight w:val="0"/>
      <w:marTop w:val="0"/>
      <w:marBottom w:val="0"/>
      <w:divBdr>
        <w:top w:val="none" w:sz="0" w:space="0" w:color="auto"/>
        <w:left w:val="none" w:sz="0" w:space="0" w:color="auto"/>
        <w:bottom w:val="none" w:sz="0" w:space="0" w:color="auto"/>
        <w:right w:val="none" w:sz="0" w:space="0" w:color="auto"/>
      </w:divBdr>
    </w:div>
    <w:div w:id="1927961499">
      <w:bodyDiv w:val="1"/>
      <w:marLeft w:val="0"/>
      <w:marRight w:val="0"/>
      <w:marTop w:val="0"/>
      <w:marBottom w:val="0"/>
      <w:divBdr>
        <w:top w:val="none" w:sz="0" w:space="0" w:color="auto"/>
        <w:left w:val="none" w:sz="0" w:space="0" w:color="auto"/>
        <w:bottom w:val="none" w:sz="0" w:space="0" w:color="auto"/>
        <w:right w:val="none" w:sz="0" w:space="0" w:color="auto"/>
      </w:divBdr>
    </w:div>
    <w:div w:id="1968120856">
      <w:bodyDiv w:val="1"/>
      <w:marLeft w:val="0"/>
      <w:marRight w:val="0"/>
      <w:marTop w:val="0"/>
      <w:marBottom w:val="0"/>
      <w:divBdr>
        <w:top w:val="none" w:sz="0" w:space="0" w:color="auto"/>
        <w:left w:val="none" w:sz="0" w:space="0" w:color="auto"/>
        <w:bottom w:val="none" w:sz="0" w:space="0" w:color="auto"/>
        <w:right w:val="none" w:sz="0" w:space="0" w:color="auto"/>
      </w:divBdr>
    </w:div>
    <w:div w:id="1970158716">
      <w:bodyDiv w:val="1"/>
      <w:marLeft w:val="0"/>
      <w:marRight w:val="0"/>
      <w:marTop w:val="0"/>
      <w:marBottom w:val="0"/>
      <w:divBdr>
        <w:top w:val="none" w:sz="0" w:space="0" w:color="auto"/>
        <w:left w:val="none" w:sz="0" w:space="0" w:color="auto"/>
        <w:bottom w:val="none" w:sz="0" w:space="0" w:color="auto"/>
        <w:right w:val="none" w:sz="0" w:space="0" w:color="auto"/>
      </w:divBdr>
    </w:div>
    <w:div w:id="1994601590">
      <w:bodyDiv w:val="1"/>
      <w:marLeft w:val="0"/>
      <w:marRight w:val="0"/>
      <w:marTop w:val="0"/>
      <w:marBottom w:val="0"/>
      <w:divBdr>
        <w:top w:val="none" w:sz="0" w:space="0" w:color="auto"/>
        <w:left w:val="none" w:sz="0" w:space="0" w:color="auto"/>
        <w:bottom w:val="none" w:sz="0" w:space="0" w:color="auto"/>
        <w:right w:val="none" w:sz="0" w:space="0" w:color="auto"/>
      </w:divBdr>
    </w:div>
    <w:div w:id="2004355975">
      <w:bodyDiv w:val="1"/>
      <w:marLeft w:val="0"/>
      <w:marRight w:val="0"/>
      <w:marTop w:val="0"/>
      <w:marBottom w:val="0"/>
      <w:divBdr>
        <w:top w:val="none" w:sz="0" w:space="0" w:color="auto"/>
        <w:left w:val="none" w:sz="0" w:space="0" w:color="auto"/>
        <w:bottom w:val="none" w:sz="0" w:space="0" w:color="auto"/>
        <w:right w:val="none" w:sz="0" w:space="0" w:color="auto"/>
      </w:divBdr>
    </w:div>
    <w:div w:id="2015691408">
      <w:bodyDiv w:val="1"/>
      <w:marLeft w:val="0"/>
      <w:marRight w:val="0"/>
      <w:marTop w:val="0"/>
      <w:marBottom w:val="0"/>
      <w:divBdr>
        <w:top w:val="none" w:sz="0" w:space="0" w:color="auto"/>
        <w:left w:val="none" w:sz="0" w:space="0" w:color="auto"/>
        <w:bottom w:val="none" w:sz="0" w:space="0" w:color="auto"/>
        <w:right w:val="none" w:sz="0" w:space="0" w:color="auto"/>
      </w:divBdr>
    </w:div>
    <w:div w:id="2058973483">
      <w:bodyDiv w:val="1"/>
      <w:marLeft w:val="0"/>
      <w:marRight w:val="0"/>
      <w:marTop w:val="0"/>
      <w:marBottom w:val="0"/>
      <w:divBdr>
        <w:top w:val="none" w:sz="0" w:space="0" w:color="auto"/>
        <w:left w:val="none" w:sz="0" w:space="0" w:color="auto"/>
        <w:bottom w:val="none" w:sz="0" w:space="0" w:color="auto"/>
        <w:right w:val="none" w:sz="0" w:space="0" w:color="auto"/>
      </w:divBdr>
    </w:div>
    <w:div w:id="2063170432">
      <w:bodyDiv w:val="1"/>
      <w:marLeft w:val="0"/>
      <w:marRight w:val="0"/>
      <w:marTop w:val="0"/>
      <w:marBottom w:val="0"/>
      <w:divBdr>
        <w:top w:val="none" w:sz="0" w:space="0" w:color="auto"/>
        <w:left w:val="none" w:sz="0" w:space="0" w:color="auto"/>
        <w:bottom w:val="none" w:sz="0" w:space="0" w:color="auto"/>
        <w:right w:val="none" w:sz="0" w:space="0" w:color="auto"/>
      </w:divBdr>
    </w:div>
    <w:div w:id="2073458042">
      <w:bodyDiv w:val="1"/>
      <w:marLeft w:val="0"/>
      <w:marRight w:val="0"/>
      <w:marTop w:val="0"/>
      <w:marBottom w:val="0"/>
      <w:divBdr>
        <w:top w:val="none" w:sz="0" w:space="0" w:color="auto"/>
        <w:left w:val="none" w:sz="0" w:space="0" w:color="auto"/>
        <w:bottom w:val="none" w:sz="0" w:space="0" w:color="auto"/>
        <w:right w:val="none" w:sz="0" w:space="0" w:color="auto"/>
      </w:divBdr>
    </w:div>
    <w:div w:id="2104297054">
      <w:bodyDiv w:val="1"/>
      <w:marLeft w:val="0"/>
      <w:marRight w:val="0"/>
      <w:marTop w:val="0"/>
      <w:marBottom w:val="0"/>
      <w:divBdr>
        <w:top w:val="none" w:sz="0" w:space="0" w:color="auto"/>
        <w:left w:val="none" w:sz="0" w:space="0" w:color="auto"/>
        <w:bottom w:val="none" w:sz="0" w:space="0" w:color="auto"/>
        <w:right w:val="none" w:sz="0" w:space="0" w:color="auto"/>
      </w:divBdr>
    </w:div>
    <w:div w:id="2109301761">
      <w:bodyDiv w:val="1"/>
      <w:marLeft w:val="0"/>
      <w:marRight w:val="0"/>
      <w:marTop w:val="0"/>
      <w:marBottom w:val="0"/>
      <w:divBdr>
        <w:top w:val="none" w:sz="0" w:space="0" w:color="auto"/>
        <w:left w:val="none" w:sz="0" w:space="0" w:color="auto"/>
        <w:bottom w:val="none" w:sz="0" w:space="0" w:color="auto"/>
        <w:right w:val="none" w:sz="0" w:space="0" w:color="auto"/>
      </w:divBdr>
    </w:div>
    <w:div w:id="2116245693">
      <w:bodyDiv w:val="1"/>
      <w:marLeft w:val="0"/>
      <w:marRight w:val="0"/>
      <w:marTop w:val="0"/>
      <w:marBottom w:val="0"/>
      <w:divBdr>
        <w:top w:val="none" w:sz="0" w:space="0" w:color="auto"/>
        <w:left w:val="none" w:sz="0" w:space="0" w:color="auto"/>
        <w:bottom w:val="none" w:sz="0" w:space="0" w:color="auto"/>
        <w:right w:val="none" w:sz="0" w:space="0" w:color="auto"/>
      </w:divBdr>
    </w:div>
    <w:div w:id="2129229050">
      <w:bodyDiv w:val="1"/>
      <w:marLeft w:val="0"/>
      <w:marRight w:val="0"/>
      <w:marTop w:val="0"/>
      <w:marBottom w:val="0"/>
      <w:divBdr>
        <w:top w:val="none" w:sz="0" w:space="0" w:color="auto"/>
        <w:left w:val="none" w:sz="0" w:space="0" w:color="auto"/>
        <w:bottom w:val="none" w:sz="0" w:space="0" w:color="auto"/>
        <w:right w:val="none" w:sz="0" w:space="0" w:color="auto"/>
      </w:divBdr>
    </w:div>
    <w:div w:id="2144344744">
      <w:bodyDiv w:val="1"/>
      <w:marLeft w:val="0"/>
      <w:marRight w:val="0"/>
      <w:marTop w:val="0"/>
      <w:marBottom w:val="0"/>
      <w:divBdr>
        <w:top w:val="none" w:sz="0" w:space="0" w:color="auto"/>
        <w:left w:val="none" w:sz="0" w:space="0" w:color="auto"/>
        <w:bottom w:val="none" w:sz="0" w:space="0" w:color="auto"/>
        <w:right w:val="none" w:sz="0" w:space="0" w:color="auto"/>
      </w:divBdr>
    </w:div>
    <w:div w:id="2146266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q=http://dx.do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Shr21</b:Tag>
    <b:SourceType>Misc</b:SourceType>
    <b:Guid>{BB684EC0-8FC3-46A1-8D66-EF5CDF026A8F}</b:Guid>
    <b:Author>
      <b:Author>
        <b:NameList>
          <b:Person>
            <b:Last>Shrestha</b:Last>
            <b:First>Purna</b:First>
            <b:Middle>Man</b:Middle>
          </b:Person>
        </b:NameList>
      </b:Author>
    </b:Author>
    <b:Title>Impact of Service Quality on Customer Satisfaction and Loyalty</b:Title>
    <b:Year>2021</b:Year>
    <b:Publisher>Mid-West University, Surkhet, Nepal</b:Publisher>
    <b:URL>https://doi.org/10.3126/md.v24i2.50041</b:URL>
    <b:RefOrder>1</b:RefOrder>
  </b:Source>
  <b:Source>
    <b:Tag>Amu12</b:Tag>
    <b:SourceType>Misc</b:SourceType>
    <b:Guid>{F643641C-149F-4AE3-AAEA-2C763F16F312}</b:Guid>
    <b:Author>
      <b:Author>
        <b:NameList>
          <b:Person>
            <b:Last>Amudha</b:Last>
            <b:First>Ramachandran.</b:First>
            <b:Middle>Vijayabanu, Chidambaram</b:Middle>
          </b:Person>
        </b:NameList>
      </b:Author>
    </b:Author>
    <b:Title>A review of customer satisfaction towards service quality of banking sector</b:Title>
    <b:Year>2012</b:Year>
    <b:RefOrder>2</b:RefOrder>
  </b:Source>
  <b:Source>
    <b:Tag>Moh16</b:Tag>
    <b:SourceType>Book</b:SourceType>
    <b:Guid>{56AAFECB-8A7D-4826-B1BC-EE28089E1852}</b:Guid>
    <b:Author>
      <b:Author>
        <b:NameList>
          <b:Person>
            <b:Last>Mohamed Zaki</b:Last>
            <b:First>Dalia</b:First>
            <b:Middle>Kandeil, Andy Neely, Janet R. McColl-Kennedy</b:Middle>
          </b:Person>
        </b:NameList>
      </b:Author>
    </b:Author>
    <b:Title>The Fallacy of the Net Promoter Score: Customer Loyalty Predictive Model</b:Title>
    <b:Year>2016</b:Year>
    <b:Publisher>University of Cambridge</b:Publisher>
    <b:RefOrder>3</b:RefOrder>
  </b:Source>
  <b:Source>
    <b:Tag>Chr22</b:Tag>
    <b:SourceType>Book</b:SourceType>
    <b:Guid>{8183F418-A408-41C0-B78E-064397F884E1}</b:Guid>
    <b:Author>
      <b:Author>
        <b:NameList>
          <b:Person>
            <b:Last>Vestergaard</b:Last>
            <b:First>Christian</b:First>
          </b:Person>
        </b:NameList>
      </b:Author>
    </b:Author>
    <b:Title>Predicting Quality of Experience from Performance Indicators</b:Title>
    <b:Year>2022</b:Year>
    <b:City>Suecia</b:City>
    <b:RefOrder>4</b:RefOrder>
  </b:Source>
  <b:Source>
    <b:Tag>Hus21</b:Tag>
    <b:SourceType>Report</b:SourceType>
    <b:Guid>{A5596FA2-40C7-4FE5-A822-504DA75FF08D}</b:Guid>
    <b:Author>
      <b:Author>
        <b:NameList>
          <b:Person>
            <b:Last>Hussain Ibrahim</b:Last>
            <b:First>Mazen</b:First>
            <b:Middle>Hakim</b:Middle>
          </b:Person>
        </b:NameList>
      </b:Author>
    </b:Author>
    <b:Title>Predicting customer complaints in Mobile Telecom Industry based on supervised machine learning</b:Title>
    <b:Year>2021</b:Year>
    <b:City>Bulgaria</b:City>
    <b:RefOrder>5</b:RefOrder>
  </b:Source>
  <b:Source>
    <b:Tag>Joh09</b:Tag>
    <b:SourceType>Book</b:SourceType>
    <b:Guid>{B5BFFC62-B436-42C8-85C3-C75E87D61427}</b:Guid>
    <b:Author>
      <b:Author>
        <b:NameList>
          <b:Person>
            <b:Last>Goodman</b:Last>
            <b:First>John</b:First>
            <b:Middle>A.</b:Middle>
          </b:Person>
        </b:NameList>
      </b:Author>
    </b:Author>
    <b:Title>Strategic Customer Service</b:Title>
    <b:Year>2009</b:Year>
    <b:City>New York</b:City>
    <b:Publisher>Amacom</b:Publisher>
    <b:RefOrder>6</b:RefOrder>
  </b:Source>
  <b:Source>
    <b:Tag>Avi</b:Tag>
    <b:SourceType>InternetSite</b:SourceType>
    <b:Guid>{B8B0FB51-8B60-4AED-9AAE-09052621E8DA}</b:Guid>
    <b:Title>4 Reasons Why Unsatisfied Customers Don’t Complain (and Why You Want Them to)</b:Title>
    <b:URL>https://www.avidratings.com/articles/4-reasons-why-unsatisfied-customers-dont-complain-and-why-you-want-them-to/</b:URL>
    <b:Author>
      <b:Author>
        <b:NameList>
          <b:Person>
            <b:Last>Ratings</b:Last>
            <b:First>Avid</b:First>
          </b:Person>
        </b:NameList>
      </b:Author>
    </b:Author>
    <b:Year>2021</b:Year>
    <b:RefOrder>7</b:RefOrder>
  </b:Source>
  <b:Source>
    <b:Tag>CIS20</b:Tag>
    <b:SourceType>BookSection</b:SourceType>
    <b:Guid>{232B3695-95F2-44C6-B52D-F61C04A292A2}</b:Guid>
    <b:Title>Cisco Annual Internet Report (2018 - 2023)</b:Title>
    <b:Year>2020</b:Year>
    <b:Author>
      <b:Author>
        <b:NameList>
          <b:Person>
            <b:Last>Cisco</b:Last>
          </b:Person>
        </b:NameList>
      </b:Author>
    </b:Author>
    <b:JournalName>Cisco Annual Internet Report (2018 - 2023)</b:JournalName>
    <b:BookTitle>Cisco Annual Internet Report (2018 - 2023)</b:BookTitle>
    <b:RefOrder>8</b:RefOrder>
  </b:Source>
  <b:Source>
    <b:Tag>Mak16</b:Tag>
    <b:SourceType>DocumentFromInternetSite</b:SourceType>
    <b:Guid>{04AC6A77-B6FE-47F2-AC11-A755D0F83671}</b:Guid>
    <b:Author>
      <b:Author>
        <b:NameList>
          <b:Person>
            <b:Last>C. Makanyeza</b:Last>
            <b:First>D.</b:First>
            <b:Middle>Mumiriki</b:Middle>
          </b:Person>
        </b:NameList>
      </b:Author>
      <b:ProducerName>
        <b:NameList>
          <b:Person>
            <b:Last>Commercii</b:Last>
            <b:First>Acta</b:First>
          </b:Person>
        </b:NameList>
      </b:ProducerName>
    </b:Author>
    <b:Title>Are all customers really the same? Comparing service quality and satisfaction between residential and business telecommunication customers</b:Title>
    <b:Year>2016</b:Year>
    <b:URL>http://dx.doi.org/10.4102/ac.v16i1.348</b:URL>
    <b:RefOrder>9</b:RefOrder>
  </b:Source>
  <b:Source>
    <b:Tag>Bre01</b:Tag>
    <b:SourceType>Book</b:SourceType>
    <b:Guid>{4C9DC589-0982-4BDE-A898-7AF52F950B97}</b:Guid>
    <b:Author>
      <b:Author>
        <b:NameList>
          <b:Person>
            <b:Last>Breiman</b:Last>
            <b:First>L.</b:First>
          </b:Person>
        </b:NameList>
      </b:Author>
    </b:Author>
    <b:Title>Random Forests</b:Title>
    <b:Year>2001</b:Year>
    <b:Publisher>Machine Learning</b:Publisher>
    <b:RefOrder>10</b:RefOrder>
  </b:Source>
</b:Sources>
</file>

<file path=customXml/itemProps1.xml><?xml version="1.0" encoding="utf-8"?>
<ds:datastoreItem xmlns:ds="http://schemas.openxmlformats.org/officeDocument/2006/customXml" ds:itemID="{F3F9A17D-E55B-4A21-89A8-06E877489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2100</TotalTime>
  <Pages>9</Pages>
  <Words>2428</Words>
  <Characters>13356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Grupo TELECOM S.A</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Pittana</dc:creator>
  <dc:description/>
  <cp:lastModifiedBy>Sebastian Meier</cp:lastModifiedBy>
  <cp:revision>71</cp:revision>
  <cp:lastPrinted>2024-07-04T00:07:00Z</cp:lastPrinted>
  <dcterms:created xsi:type="dcterms:W3CDTF">2024-09-12T12:05:00Z</dcterms:created>
  <dcterms:modified xsi:type="dcterms:W3CDTF">2025-12-09T20:08:00Z</dcterms:modified>
  <dc:language>es-AR</dc:language>
</cp:coreProperties>
</file>