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A1983" w14:textId="77777777" w:rsidR="006435B7" w:rsidRPr="00CB5B49" w:rsidRDefault="00E26E0F" w:rsidP="007E7F55">
      <w:pPr>
        <w:spacing w:after="80"/>
        <w:jc w:val="center"/>
        <w:rPr>
          <w:rFonts w:ascii="Times New Roman" w:hAnsi="Times New Roman" w:cs="Times New Roman"/>
          <w:color w:val="000000" w:themeColor="text1"/>
          <w:sz w:val="24"/>
          <w:szCs w:val="24"/>
        </w:rPr>
      </w:pPr>
      <w:r w:rsidRPr="00CB5B49">
        <w:rPr>
          <w:rFonts w:ascii="Times New Roman" w:hAnsi="Times New Roman" w:cs="Times New Roman"/>
          <w:b/>
          <w:bCs/>
          <w:color w:val="000000" w:themeColor="text1"/>
          <w:sz w:val="24"/>
          <w:szCs w:val="24"/>
        </w:rPr>
        <w:t>EL MAPA DE LA DESIGUALDAD</w:t>
      </w:r>
    </w:p>
    <w:p w14:paraId="53E1ACD3" w14:textId="77777777" w:rsidR="006435B7" w:rsidRPr="00CB5B49" w:rsidRDefault="00E26E0F">
      <w:pPr>
        <w:spacing w:after="60"/>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Indicadores sociales y fiscales en los departamentos de Colombia</w:t>
      </w:r>
    </w:p>
    <w:p w14:paraId="3BFE692F" w14:textId="1D69A3B4" w:rsidR="00FC2AA8" w:rsidRPr="00FC2AA8" w:rsidRDefault="00E26E0F" w:rsidP="00CB5B49">
      <w:pPr>
        <w:pBdr>
          <w:bottom w:val="single" w:sz="12" w:space="4" w:color="2E75B6"/>
        </w:pBdr>
        <w:spacing w:after="360"/>
        <w:rPr>
          <w:rFonts w:ascii="Times New Roman" w:hAnsi="Times New Roman" w:cs="Times New Roman"/>
          <w:i/>
          <w:iCs/>
          <w:color w:val="000000" w:themeColor="text1"/>
          <w:sz w:val="24"/>
          <w:szCs w:val="24"/>
        </w:rPr>
      </w:pPr>
      <w:r w:rsidRPr="00CB5B49">
        <w:rPr>
          <w:rFonts w:ascii="Times New Roman" w:hAnsi="Times New Roman" w:cs="Times New Roman"/>
          <w:i/>
          <w:iCs/>
          <w:color w:val="000000" w:themeColor="text1"/>
          <w:sz w:val="24"/>
          <w:szCs w:val="24"/>
        </w:rPr>
        <w:t xml:space="preserve">Análisis regional de indicadores socioeconómicos y capacidad fiscal departamental  •  2019–2025  </w:t>
      </w:r>
      <w:r w:rsidR="00BC160A">
        <w:rPr>
          <w:rFonts w:ascii="Times New Roman" w:hAnsi="Times New Roman" w:cs="Times New Roman"/>
          <w:i/>
          <w:iCs/>
          <w:color w:val="000000" w:themeColor="text1"/>
          <w:sz w:val="24"/>
          <w:szCs w:val="24"/>
        </w:rPr>
        <w:t xml:space="preserve">- </w:t>
      </w:r>
      <w:r w:rsidR="007E7F55">
        <w:rPr>
          <w:rFonts w:ascii="Times New Roman" w:hAnsi="Times New Roman" w:cs="Times New Roman"/>
          <w:i/>
          <w:iCs/>
          <w:color w:val="000000" w:themeColor="text1"/>
          <w:sz w:val="24"/>
          <w:szCs w:val="24"/>
        </w:rPr>
        <w:t xml:space="preserve">Ana Sofía Zapata; Sharon Daniela </w:t>
      </w:r>
      <w:r w:rsidR="009B6F72">
        <w:rPr>
          <w:rFonts w:ascii="Times New Roman" w:hAnsi="Times New Roman" w:cs="Times New Roman"/>
          <w:i/>
          <w:iCs/>
          <w:color w:val="000000" w:themeColor="text1"/>
          <w:sz w:val="24"/>
          <w:szCs w:val="24"/>
        </w:rPr>
        <w:t>Hernández</w:t>
      </w:r>
      <w:r w:rsidR="00FC2AA8" w:rsidRPr="00FC2AA8">
        <w:rPr>
          <w:rFonts w:ascii="Times New Roman" w:hAnsi="Times New Roman" w:cs="Times New Roman"/>
          <w:i/>
          <w:iCs/>
          <w:color w:val="000000" w:themeColor="text1"/>
          <w:sz w:val="24"/>
          <w:szCs w:val="24"/>
        </w:rPr>
        <w:t>;</w:t>
      </w:r>
      <w:r w:rsidR="00FC2AA8">
        <w:rPr>
          <w:rFonts w:ascii="Times New Roman" w:hAnsi="Times New Roman" w:cs="Times New Roman"/>
          <w:i/>
          <w:iCs/>
          <w:color w:val="000000" w:themeColor="text1"/>
          <w:sz w:val="24"/>
          <w:szCs w:val="24"/>
        </w:rPr>
        <w:t xml:space="preserve"> Sebastian Melo; Julián Morales.</w:t>
      </w:r>
    </w:p>
    <w:p w14:paraId="63E0EDCD" w14:textId="2BA81AE0" w:rsidR="006435B7" w:rsidRPr="009B6F72" w:rsidRDefault="006034A5" w:rsidP="00CB5B49">
      <w:pPr>
        <w:pBdr>
          <w:bottom w:val="single" w:sz="12" w:space="4" w:color="2E75B6"/>
        </w:pBdr>
        <w:spacing w:after="360"/>
        <w:rPr>
          <w:rFonts w:ascii="Times New Roman" w:hAnsi="Times New Roman" w:cs="Times New Roman"/>
          <w:b/>
          <w:bCs/>
          <w:color w:val="000000" w:themeColor="text1"/>
          <w:sz w:val="24"/>
          <w:szCs w:val="24"/>
        </w:rPr>
      </w:pPr>
      <w:r w:rsidRPr="009B6F72">
        <w:rPr>
          <w:rFonts w:ascii="Times New Roman" w:hAnsi="Times New Roman" w:cs="Times New Roman"/>
          <w:b/>
          <w:bCs/>
          <w:color w:val="000000" w:themeColor="text1"/>
          <w:sz w:val="24"/>
          <w:szCs w:val="24"/>
        </w:rPr>
        <w:t xml:space="preserve">Introducción </w:t>
      </w:r>
    </w:p>
    <w:p w14:paraId="7D96FE14" w14:textId="527EFE19" w:rsidR="006034A5" w:rsidRPr="00CB5B49" w:rsidRDefault="006034A5">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Las brechas territoriales en Colombia constituyen uno de los rasgos más persistentes de su estructura socioeconómica, las diferencias en el acceso al empleo, los niveles de pobreza, la distribución del ingreso y la capacidad fiscal de los gobiernos departamentales reflejan dinámicas históricas asociadas a la concentración productiva, la especialización regional y la desigual presencia institucional en el territorio</w:t>
      </w:r>
      <w:r w:rsidR="00DC3EB9" w:rsidRPr="00CB5B49">
        <w:rPr>
          <w:rFonts w:ascii="Times New Roman" w:hAnsi="Times New Roman" w:cs="Times New Roman"/>
          <w:color w:val="000000" w:themeColor="text1"/>
          <w:sz w:val="24"/>
          <w:szCs w:val="24"/>
        </w:rPr>
        <w:t>; e</w:t>
      </w:r>
      <w:r w:rsidRPr="00CB5B49">
        <w:rPr>
          <w:rFonts w:ascii="Times New Roman" w:hAnsi="Times New Roman" w:cs="Times New Roman"/>
          <w:color w:val="000000" w:themeColor="text1"/>
          <w:sz w:val="24"/>
          <w:szCs w:val="24"/>
        </w:rPr>
        <w:t xml:space="preserve">n este </w:t>
      </w:r>
      <w:r w:rsidR="00DC3EB9" w:rsidRPr="00CB5B49">
        <w:rPr>
          <w:rFonts w:ascii="Times New Roman" w:hAnsi="Times New Roman" w:cs="Times New Roman"/>
          <w:color w:val="000000" w:themeColor="text1"/>
          <w:sz w:val="24"/>
          <w:szCs w:val="24"/>
        </w:rPr>
        <w:t>sentido</w:t>
      </w:r>
      <w:r w:rsidRPr="00CB5B49">
        <w:rPr>
          <w:rFonts w:ascii="Times New Roman" w:hAnsi="Times New Roman" w:cs="Times New Roman"/>
          <w:color w:val="000000" w:themeColor="text1"/>
          <w:sz w:val="24"/>
          <w:szCs w:val="24"/>
        </w:rPr>
        <w:t>, el análisis comparativo de indicadores sociales y fiscales permite comprender cómo evolucionan las condiciones de bienestar entre departamentos; así como identificar los factores que explican sus trayectorias diferenciadas en escenarios de crisis y recuperación económica.</w:t>
      </w:r>
    </w:p>
    <w:p w14:paraId="662F6619" w14:textId="1A19CBC4" w:rsidR="006034A5" w:rsidRPr="00CB5B49" w:rsidRDefault="006034A5">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La pandemia del COVID-19 representó un punto de inflexión para la economía colombiana, al generar un choque simultáneo sobre el mercado laboral, los ingresos de los hogares y las finanzas territoriales</w:t>
      </w:r>
      <w:r w:rsidR="00E02205">
        <w:rPr>
          <w:rFonts w:ascii="Times New Roman" w:hAnsi="Times New Roman" w:cs="Times New Roman"/>
          <w:color w:val="000000" w:themeColor="text1"/>
          <w:sz w:val="24"/>
          <w:szCs w:val="24"/>
        </w:rPr>
        <w:t>, s</w:t>
      </w:r>
      <w:r w:rsidRPr="00CB5B49">
        <w:rPr>
          <w:rFonts w:ascii="Times New Roman" w:hAnsi="Times New Roman" w:cs="Times New Roman"/>
          <w:color w:val="000000" w:themeColor="text1"/>
          <w:sz w:val="24"/>
          <w:szCs w:val="24"/>
        </w:rPr>
        <w:t>in embargo sus efectos no fueron homogéneos entre regiones; por el contrario, evidenciaron la existencia de capacidades desiguales de respuesta institucional y resiliencia económica</w:t>
      </w:r>
      <w:r w:rsidR="00E02205">
        <w:rPr>
          <w:rFonts w:ascii="Times New Roman" w:hAnsi="Times New Roman" w:cs="Times New Roman"/>
          <w:color w:val="000000" w:themeColor="text1"/>
          <w:sz w:val="24"/>
          <w:szCs w:val="24"/>
        </w:rPr>
        <w:t xml:space="preserve">; por esto </w:t>
      </w:r>
      <w:r w:rsidRPr="00CB5B49">
        <w:rPr>
          <w:rFonts w:ascii="Times New Roman" w:hAnsi="Times New Roman" w:cs="Times New Roman"/>
          <w:color w:val="000000" w:themeColor="text1"/>
          <w:sz w:val="24"/>
          <w:szCs w:val="24"/>
        </w:rPr>
        <w:t>este boletín analiza la evolución de la tasa de ocupación, la tasa de desocupación, la pobreza extrema y el coeficiente de Gini en ocho departamentos representativos del país durante el período 2019–2024, incorporando además el comportamiento de los ingresos departamentales entre 2021 y 2025 como elemento explicativo de la capacidad de recuperación territorial.</w:t>
      </w:r>
    </w:p>
    <w:p w14:paraId="436CBE86" w14:textId="136AB03D" w:rsidR="006034A5" w:rsidRPr="00CB5B49" w:rsidRDefault="006034A5">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 xml:space="preserve">A partir de este enfoque comparativo, el </w:t>
      </w:r>
      <w:r w:rsidR="00F35CDD">
        <w:rPr>
          <w:rFonts w:ascii="Times New Roman" w:hAnsi="Times New Roman" w:cs="Times New Roman"/>
          <w:color w:val="000000" w:themeColor="text1"/>
          <w:sz w:val="24"/>
          <w:szCs w:val="24"/>
        </w:rPr>
        <w:t xml:space="preserve">boletín </w:t>
      </w:r>
      <w:r w:rsidRPr="00CB5B49">
        <w:rPr>
          <w:rFonts w:ascii="Times New Roman" w:hAnsi="Times New Roman" w:cs="Times New Roman"/>
          <w:color w:val="000000" w:themeColor="text1"/>
          <w:sz w:val="24"/>
          <w:szCs w:val="24"/>
        </w:rPr>
        <w:t>busca describir las principales tendencias recientes en los indicadores socioeconómicos departamentales; identificar diferencias estructurales entre territorios; y aportar una lectura integrada sobre la relación entre desigualdad, mercado laboral y capacidad fiscal en el contexto de la recuperación posterior a la pandemia</w:t>
      </w:r>
      <w:r w:rsidR="00F35CDD">
        <w:rPr>
          <w:rFonts w:ascii="Times New Roman" w:hAnsi="Times New Roman" w:cs="Times New Roman"/>
          <w:color w:val="000000" w:themeColor="text1"/>
          <w:sz w:val="24"/>
          <w:szCs w:val="24"/>
        </w:rPr>
        <w:t xml:space="preserve"> y así,</w:t>
      </w:r>
      <w:r w:rsidRPr="00CB5B49">
        <w:rPr>
          <w:rFonts w:ascii="Times New Roman" w:hAnsi="Times New Roman" w:cs="Times New Roman"/>
          <w:color w:val="000000" w:themeColor="text1"/>
          <w:sz w:val="24"/>
          <w:szCs w:val="24"/>
        </w:rPr>
        <w:t xml:space="preserve"> </w:t>
      </w:r>
      <w:r w:rsidR="00F35CDD">
        <w:rPr>
          <w:rFonts w:ascii="Times New Roman" w:hAnsi="Times New Roman" w:cs="Times New Roman"/>
          <w:color w:val="000000" w:themeColor="text1"/>
          <w:sz w:val="24"/>
          <w:szCs w:val="24"/>
        </w:rPr>
        <w:t xml:space="preserve">de </w:t>
      </w:r>
      <w:r w:rsidRPr="00CB5B49">
        <w:rPr>
          <w:rFonts w:ascii="Times New Roman" w:hAnsi="Times New Roman" w:cs="Times New Roman"/>
          <w:color w:val="000000" w:themeColor="text1"/>
          <w:sz w:val="24"/>
          <w:szCs w:val="24"/>
        </w:rPr>
        <w:t>esta manera, el boletín contribuye a visibilizar el mapa contemporáneo de la desigualdad regional en Colombia y sus implicaciones para la formulación de políticas públicas orientadas al desarrollo territorial equilibrado.</w:t>
      </w:r>
    </w:p>
    <w:p w14:paraId="73688061" w14:textId="77777777" w:rsidR="006435B7" w:rsidRPr="00CB5B49" w:rsidRDefault="006435B7">
      <w:pPr>
        <w:spacing w:after="100"/>
        <w:rPr>
          <w:rFonts w:ascii="Times New Roman" w:hAnsi="Times New Roman" w:cs="Times New Roman"/>
          <w:color w:val="000000" w:themeColor="text1"/>
          <w:sz w:val="24"/>
          <w:szCs w:val="24"/>
        </w:rPr>
      </w:pPr>
    </w:p>
    <w:p w14:paraId="0B11FD88" w14:textId="77777777" w:rsidR="006435B7" w:rsidRPr="00CB5B49" w:rsidRDefault="00E26E0F">
      <w:pPr>
        <w:pStyle w:val="Ttulo1"/>
        <w:pBdr>
          <w:bottom w:val="single" w:sz="8" w:space="4" w:color="2E75B6"/>
        </w:pBd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Pregunta problema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6435B7" w:rsidRPr="00CB5B49" w14:paraId="1A899EFC" w14:textId="77777777">
        <w:tc>
          <w:tcPr>
            <w:tcW w:w="9360" w:type="dxa"/>
            <w:tcBorders>
              <w:top w:val="single" w:sz="12" w:space="0" w:color="2E75B6"/>
              <w:left w:val="single" w:sz="20" w:space="0" w:color="2E75B6"/>
              <w:bottom w:val="single" w:sz="4" w:space="0" w:color="2E75B6"/>
              <w:right w:val="single" w:sz="4" w:space="0" w:color="2E75B6"/>
            </w:tcBorders>
            <w:shd w:val="clear" w:color="auto" w:fill="D6E4F0"/>
            <w:tcMar>
              <w:top w:w="160" w:type="dxa"/>
              <w:left w:w="240" w:type="dxa"/>
              <w:bottom w:w="160" w:type="dxa"/>
              <w:right w:w="240" w:type="dxa"/>
            </w:tcMar>
          </w:tcPr>
          <w:p w14:paraId="4C37FA49" w14:textId="77777777" w:rsidR="006435B7" w:rsidRPr="00CB5B49" w:rsidRDefault="00E26E0F">
            <w:pPr>
              <w:jc w:val="both"/>
              <w:rPr>
                <w:rFonts w:ascii="Times New Roman" w:hAnsi="Times New Roman" w:cs="Times New Roman"/>
                <w:color w:val="000000" w:themeColor="text1"/>
                <w:sz w:val="24"/>
                <w:szCs w:val="24"/>
              </w:rPr>
            </w:pPr>
            <w:r w:rsidRPr="00CB5B49">
              <w:rPr>
                <w:rFonts w:ascii="Times New Roman" w:hAnsi="Times New Roman" w:cs="Times New Roman"/>
                <w:i/>
                <w:iCs/>
                <w:color w:val="000000" w:themeColor="text1"/>
                <w:sz w:val="24"/>
                <w:szCs w:val="24"/>
              </w:rPr>
              <w:t>¿Cuál ha sido el comportamiento de la tasa de ocupación, la tasa de desocupación, la pobreza extrema y el coeficiente de Gini en los departamentos de Colombia, entre 2019 y 2024, y qué diferencias se evidencian entre estos territorios?</w:t>
            </w:r>
          </w:p>
        </w:tc>
      </w:tr>
    </w:tbl>
    <w:p w14:paraId="2CA4E292" w14:textId="77777777" w:rsidR="006435B7" w:rsidRPr="00CB5B49" w:rsidRDefault="006435B7">
      <w:pPr>
        <w:spacing w:after="100"/>
        <w:rPr>
          <w:rFonts w:ascii="Times New Roman" w:hAnsi="Times New Roman" w:cs="Times New Roman"/>
          <w:color w:val="000000" w:themeColor="text1"/>
          <w:sz w:val="24"/>
          <w:szCs w:val="24"/>
        </w:rPr>
      </w:pPr>
    </w:p>
    <w:p w14:paraId="4C94B748" w14:textId="77777777" w:rsidR="006435B7" w:rsidRPr="00CB5B49" w:rsidRDefault="00E26E0F">
      <w:pPr>
        <w:pStyle w:val="Ttulo1"/>
        <w:pBdr>
          <w:bottom w:val="single" w:sz="8" w:space="4" w:color="2E75B6"/>
        </w:pBd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Contexto</w:t>
      </w:r>
    </w:p>
    <w:p w14:paraId="6A136BB8" w14:textId="4C677DD3"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lastRenderedPageBreak/>
        <w:t>La pandemia del COVID-19 generó un choque económico sin precedentes en Colombia durante 2020</w:t>
      </w:r>
      <w:r w:rsidR="003A7003">
        <w:rPr>
          <w:rFonts w:ascii="Times New Roman" w:hAnsi="Times New Roman" w:cs="Times New Roman"/>
          <w:color w:val="000000" w:themeColor="text1"/>
          <w:sz w:val="24"/>
          <w:szCs w:val="24"/>
        </w:rPr>
        <w:t>, sus</w:t>
      </w:r>
      <w:r w:rsidRPr="00CB5B49">
        <w:rPr>
          <w:rFonts w:ascii="Times New Roman" w:hAnsi="Times New Roman" w:cs="Times New Roman"/>
          <w:color w:val="000000" w:themeColor="text1"/>
          <w:sz w:val="24"/>
          <w:szCs w:val="24"/>
        </w:rPr>
        <w:t xml:space="preserve"> efectos sobre el mercado laboral, la pobreza y la desigualdad fueron significativos, pero con magnitudes y velocidades de recuperación distintas según la estructura productiva de cada departamento</w:t>
      </w:r>
      <w:r w:rsidR="003A7003">
        <w:rPr>
          <w:rFonts w:ascii="Times New Roman" w:hAnsi="Times New Roman" w:cs="Times New Roman"/>
          <w:color w:val="000000" w:themeColor="text1"/>
          <w:sz w:val="24"/>
          <w:szCs w:val="24"/>
        </w:rPr>
        <w:t>,</w:t>
      </w:r>
      <w:r w:rsidRPr="00CB5B49">
        <w:rPr>
          <w:rFonts w:ascii="Times New Roman" w:hAnsi="Times New Roman" w:cs="Times New Roman"/>
          <w:color w:val="000000" w:themeColor="text1"/>
          <w:sz w:val="24"/>
          <w:szCs w:val="24"/>
        </w:rPr>
        <w:t xml:space="preserve"> </w:t>
      </w:r>
      <w:r w:rsidR="003A7003">
        <w:rPr>
          <w:rFonts w:ascii="Times New Roman" w:hAnsi="Times New Roman" w:cs="Times New Roman"/>
          <w:color w:val="000000" w:themeColor="text1"/>
          <w:sz w:val="24"/>
          <w:szCs w:val="24"/>
        </w:rPr>
        <w:t xml:space="preserve">este boletín </w:t>
      </w:r>
      <w:r w:rsidRPr="00CB5B49">
        <w:rPr>
          <w:rFonts w:ascii="Times New Roman" w:hAnsi="Times New Roman" w:cs="Times New Roman"/>
          <w:color w:val="000000" w:themeColor="text1"/>
          <w:sz w:val="24"/>
          <w:szCs w:val="24"/>
        </w:rPr>
        <w:t>permite identificar si la reactivación económica ha sido homogénea entre los territorios seleccionados, o si persisten brechas territoriales en los indicadores de bienestar socioeconómico</w:t>
      </w:r>
      <w:r w:rsidR="00CB5B49" w:rsidRPr="00CB5B49">
        <w:rPr>
          <w:rFonts w:ascii="Times New Roman" w:hAnsi="Times New Roman" w:cs="Times New Roman"/>
          <w:color w:val="000000" w:themeColor="text1"/>
          <w:sz w:val="24"/>
          <w:szCs w:val="24"/>
        </w:rPr>
        <w:t xml:space="preserve">; este </w:t>
      </w:r>
      <w:proofErr w:type="spellStart"/>
      <w:r w:rsidR="00CB5B49" w:rsidRPr="00CB5B49">
        <w:rPr>
          <w:rFonts w:ascii="Times New Roman" w:hAnsi="Times New Roman" w:cs="Times New Roman"/>
          <w:color w:val="000000" w:themeColor="text1"/>
          <w:sz w:val="24"/>
          <w:szCs w:val="24"/>
        </w:rPr>
        <w:t>boletin</w:t>
      </w:r>
      <w:proofErr w:type="spellEnd"/>
      <w:r w:rsidRPr="00CB5B49">
        <w:rPr>
          <w:rFonts w:ascii="Times New Roman" w:hAnsi="Times New Roman" w:cs="Times New Roman"/>
          <w:color w:val="000000" w:themeColor="text1"/>
          <w:sz w:val="24"/>
          <w:szCs w:val="24"/>
        </w:rPr>
        <w:t xml:space="preserve"> cubre el período 2019–2024, observando las condiciones previas a la pandemia, el impacto durante la crisis sanitaria y el proceso de recuperación económica posterior.</w:t>
      </w:r>
    </w:p>
    <w:p w14:paraId="06186BE8" w14:textId="2D8AE00D"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 xml:space="preserve">Las diferencias estructurales entre departamentos son determinantes: mientras Bogotá concentra aproximadamente el 70% de su PIB en el sector servicios </w:t>
      </w:r>
      <w:r w:rsidR="00CB5B49" w:rsidRPr="00CB5B49">
        <w:rPr>
          <w:rFonts w:ascii="Times New Roman" w:hAnsi="Times New Roman" w:cs="Times New Roman"/>
          <w:color w:val="000000" w:themeColor="text1"/>
          <w:sz w:val="24"/>
          <w:szCs w:val="24"/>
        </w:rPr>
        <w:t>(</w:t>
      </w:r>
      <w:r w:rsidRPr="00CB5B49">
        <w:rPr>
          <w:rFonts w:ascii="Times New Roman" w:hAnsi="Times New Roman" w:cs="Times New Roman"/>
          <w:color w:val="000000" w:themeColor="text1"/>
          <w:sz w:val="24"/>
          <w:szCs w:val="24"/>
        </w:rPr>
        <w:t>que pudo mantenerse activo mediante trabajo remoto</w:t>
      </w:r>
      <w:r w:rsidR="00CB5B49" w:rsidRPr="00CB5B49">
        <w:rPr>
          <w:rFonts w:ascii="Times New Roman" w:hAnsi="Times New Roman" w:cs="Times New Roman"/>
          <w:color w:val="000000" w:themeColor="text1"/>
          <w:sz w:val="24"/>
          <w:szCs w:val="24"/>
        </w:rPr>
        <w:t>)</w:t>
      </w:r>
      <w:r w:rsidRPr="00CB5B49">
        <w:rPr>
          <w:rFonts w:ascii="Times New Roman" w:hAnsi="Times New Roman" w:cs="Times New Roman"/>
          <w:color w:val="000000" w:themeColor="text1"/>
          <w:sz w:val="24"/>
          <w:szCs w:val="24"/>
        </w:rPr>
        <w:t>, regiones como Meta</w:t>
      </w:r>
      <w:r w:rsidR="00CB5B49" w:rsidRPr="00CB5B49">
        <w:rPr>
          <w:rFonts w:ascii="Times New Roman" w:hAnsi="Times New Roman" w:cs="Times New Roman"/>
          <w:color w:val="000000" w:themeColor="text1"/>
          <w:sz w:val="24"/>
          <w:szCs w:val="24"/>
        </w:rPr>
        <w:t>,</w:t>
      </w:r>
      <w:r w:rsidRPr="00CB5B49">
        <w:rPr>
          <w:rFonts w:ascii="Times New Roman" w:hAnsi="Times New Roman" w:cs="Times New Roman"/>
          <w:color w:val="000000" w:themeColor="text1"/>
          <w:sz w:val="24"/>
          <w:szCs w:val="24"/>
        </w:rPr>
        <w:t xml:space="preserve"> </w:t>
      </w:r>
      <w:r w:rsidR="00CB5B49" w:rsidRPr="00CB5B49">
        <w:rPr>
          <w:rFonts w:ascii="Times New Roman" w:hAnsi="Times New Roman" w:cs="Times New Roman"/>
          <w:color w:val="000000" w:themeColor="text1"/>
          <w:sz w:val="24"/>
          <w:szCs w:val="24"/>
        </w:rPr>
        <w:t xml:space="preserve">Valledupar, etc. </w:t>
      </w:r>
      <w:r w:rsidRPr="00CB5B49">
        <w:rPr>
          <w:rFonts w:ascii="Times New Roman" w:hAnsi="Times New Roman" w:cs="Times New Roman"/>
          <w:color w:val="000000" w:themeColor="text1"/>
          <w:sz w:val="24"/>
          <w:szCs w:val="24"/>
        </w:rPr>
        <w:t>dependen de actividades primarias extractivas. Cundinamarca, con una economía agroindustrial y logística articulada con Bogotá, presenta un comportamiento intermedio</w:t>
      </w:r>
      <w:r w:rsidR="00CB5B49" w:rsidRPr="00CB5B49">
        <w:rPr>
          <w:rFonts w:ascii="Times New Roman" w:hAnsi="Times New Roman" w:cs="Times New Roman"/>
          <w:color w:val="000000" w:themeColor="text1"/>
          <w:sz w:val="24"/>
          <w:szCs w:val="24"/>
        </w:rPr>
        <w:t>, añadiendo qué</w:t>
      </w:r>
      <w:r w:rsidRPr="00CB5B49">
        <w:rPr>
          <w:rFonts w:ascii="Times New Roman" w:hAnsi="Times New Roman" w:cs="Times New Roman"/>
          <w:color w:val="000000" w:themeColor="text1"/>
          <w:sz w:val="24"/>
          <w:szCs w:val="24"/>
        </w:rPr>
        <w:t xml:space="preserve"> </w:t>
      </w:r>
      <w:r w:rsidR="00CB5B49" w:rsidRPr="00CB5B49">
        <w:rPr>
          <w:rFonts w:ascii="Times New Roman" w:hAnsi="Times New Roman" w:cs="Times New Roman"/>
          <w:color w:val="000000" w:themeColor="text1"/>
          <w:sz w:val="24"/>
          <w:szCs w:val="24"/>
        </w:rPr>
        <w:t xml:space="preserve">a </w:t>
      </w:r>
      <w:r w:rsidRPr="00CB5B49">
        <w:rPr>
          <w:rFonts w:ascii="Times New Roman" w:hAnsi="Times New Roman" w:cs="Times New Roman"/>
          <w:color w:val="000000" w:themeColor="text1"/>
          <w:sz w:val="24"/>
          <w:szCs w:val="24"/>
        </w:rPr>
        <w:t>nivel nacional, los 32 departamentos evidencian brechas aún mayores en sus estructuras fiscales e indicadores sociales.</w:t>
      </w:r>
    </w:p>
    <w:p w14:paraId="71F06105" w14:textId="77777777" w:rsidR="006435B7" w:rsidRPr="00CB5B49" w:rsidRDefault="006435B7">
      <w:pPr>
        <w:spacing w:after="100"/>
        <w:rPr>
          <w:rFonts w:ascii="Times New Roman" w:hAnsi="Times New Roman" w:cs="Times New Roman"/>
          <w:color w:val="000000" w:themeColor="text1"/>
          <w:sz w:val="24"/>
          <w:szCs w:val="24"/>
        </w:rPr>
      </w:pPr>
    </w:p>
    <w:p w14:paraId="2DC6F06F" w14:textId="77777777" w:rsidR="006435B7" w:rsidRPr="00CB5B49" w:rsidRDefault="00E26E0F">
      <w:pPr>
        <w:pStyle w:val="Ttulo1"/>
        <w:pBdr>
          <w:bottom w:val="single" w:sz="8" w:space="4" w:color="2E75B6"/>
        </w:pBd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Indicadores utilizados</w:t>
      </w:r>
    </w:p>
    <w:p w14:paraId="4402904A"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Para el desarrollo del análisis comparativo se utilizaron los siguientes indicadores socioeconómicos:</w:t>
      </w:r>
    </w:p>
    <w:p w14:paraId="3166490A"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b/>
          <w:bCs/>
          <w:color w:val="000000" w:themeColor="text1"/>
          <w:sz w:val="24"/>
          <w:szCs w:val="24"/>
        </w:rPr>
        <w:t xml:space="preserve">1. Tasa de ocupación: </w:t>
      </w:r>
      <w:r w:rsidRPr="00CB5B49">
        <w:rPr>
          <w:rFonts w:ascii="Times New Roman" w:hAnsi="Times New Roman" w:cs="Times New Roman"/>
          <w:color w:val="000000" w:themeColor="text1"/>
          <w:sz w:val="24"/>
          <w:szCs w:val="24"/>
        </w:rPr>
        <w:t>Tasa de ocupación (TO): porcentaje de la población en edad de trabajar que tiene empleo.</w:t>
      </w:r>
    </w:p>
    <w:p w14:paraId="3C0CDC86"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b/>
          <w:bCs/>
          <w:color w:val="000000" w:themeColor="text1"/>
          <w:sz w:val="24"/>
          <w:szCs w:val="24"/>
        </w:rPr>
        <w:t xml:space="preserve">2. Tasa de desocupación: </w:t>
      </w:r>
      <w:r w:rsidRPr="00CB5B49">
        <w:rPr>
          <w:rFonts w:ascii="Times New Roman" w:hAnsi="Times New Roman" w:cs="Times New Roman"/>
          <w:color w:val="000000" w:themeColor="text1"/>
          <w:sz w:val="24"/>
          <w:szCs w:val="24"/>
        </w:rPr>
        <w:t>Tasa de desocupación (TD): porcentaje de la población económicamente activa que busca empleo sin encontrarlo.</w:t>
      </w:r>
    </w:p>
    <w:p w14:paraId="5474DCFE"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b/>
          <w:bCs/>
          <w:color w:val="000000" w:themeColor="text1"/>
          <w:sz w:val="24"/>
          <w:szCs w:val="24"/>
        </w:rPr>
        <w:t xml:space="preserve">3. Pobreza extrema: </w:t>
      </w:r>
      <w:r w:rsidRPr="00CB5B49">
        <w:rPr>
          <w:rFonts w:ascii="Times New Roman" w:hAnsi="Times New Roman" w:cs="Times New Roman"/>
          <w:color w:val="000000" w:themeColor="text1"/>
          <w:sz w:val="24"/>
          <w:szCs w:val="24"/>
        </w:rPr>
        <w:t>Pobreza extrema (%): porcentaje de personas sin ingresos suficientes para cubrir la canasta básica alimentaria.</w:t>
      </w:r>
    </w:p>
    <w:p w14:paraId="224ECDB9"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b/>
          <w:bCs/>
          <w:color w:val="000000" w:themeColor="text1"/>
          <w:sz w:val="24"/>
          <w:szCs w:val="24"/>
        </w:rPr>
        <w:t xml:space="preserve">4. Coeficiente de Gini: </w:t>
      </w:r>
      <w:r w:rsidRPr="00CB5B49">
        <w:rPr>
          <w:rFonts w:ascii="Times New Roman" w:hAnsi="Times New Roman" w:cs="Times New Roman"/>
          <w:color w:val="000000" w:themeColor="text1"/>
          <w:sz w:val="24"/>
          <w:szCs w:val="24"/>
        </w:rPr>
        <w:t>Coeficiente de Gini: medida de desigualdad de ingresos (0 = igualdad perfecta, 1 = máxima desigualdad).</w:t>
      </w:r>
    </w:p>
    <w:p w14:paraId="4436F6B1"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b/>
          <w:bCs/>
          <w:color w:val="000000" w:themeColor="text1"/>
          <w:sz w:val="24"/>
          <w:szCs w:val="24"/>
        </w:rPr>
        <w:t xml:space="preserve">5. Ingresos departamentales: </w:t>
      </w:r>
      <w:r w:rsidRPr="00CB5B49">
        <w:rPr>
          <w:rFonts w:ascii="Times New Roman" w:hAnsi="Times New Roman" w:cs="Times New Roman"/>
          <w:color w:val="000000" w:themeColor="text1"/>
          <w:sz w:val="24"/>
          <w:szCs w:val="24"/>
        </w:rPr>
        <w:t>Ingresos departamentales: recursos fiscales de los departamentos, con énfasis en transferencias nacionales (SGP), regalías y recaudo propio.</w:t>
      </w:r>
    </w:p>
    <w:p w14:paraId="0BA2BEE5" w14:textId="77777777" w:rsidR="006435B7" w:rsidRPr="00CB5B49" w:rsidRDefault="006435B7">
      <w:pPr>
        <w:spacing w:after="100"/>
        <w:rPr>
          <w:rFonts w:ascii="Times New Roman" w:hAnsi="Times New Roman" w:cs="Times New Roman"/>
          <w:color w:val="000000" w:themeColor="text1"/>
          <w:sz w:val="24"/>
          <w:szCs w:val="24"/>
        </w:rPr>
      </w:pPr>
    </w:p>
    <w:p w14:paraId="7D81FB74" w14:textId="58D606B0" w:rsidR="006435B7" w:rsidRPr="00CB5B49" w:rsidRDefault="00E26E0F">
      <w:pPr>
        <w:pStyle w:val="Ttulo1"/>
        <w:pBdr>
          <w:bottom w:val="single" w:sz="8" w:space="4" w:color="2E75B6"/>
        </w:pBd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 xml:space="preserve">Panorama general </w:t>
      </w:r>
      <w:r w:rsidR="00CB5B49" w:rsidRPr="00CB5B49">
        <w:rPr>
          <w:rFonts w:ascii="Times New Roman" w:hAnsi="Times New Roman" w:cs="Times New Roman"/>
          <w:color w:val="000000" w:themeColor="text1"/>
          <w:sz w:val="24"/>
          <w:szCs w:val="24"/>
        </w:rPr>
        <w:t xml:space="preserve">- </w:t>
      </w:r>
      <w:r w:rsidRPr="00CB5B49">
        <w:rPr>
          <w:rFonts w:ascii="Times New Roman" w:hAnsi="Times New Roman" w:cs="Times New Roman"/>
          <w:color w:val="000000" w:themeColor="text1"/>
          <w:sz w:val="24"/>
          <w:szCs w:val="24"/>
        </w:rPr>
        <w:t>Promedio de los 8 departamentos seleccionados</w:t>
      </w:r>
    </w:p>
    <w:p w14:paraId="7E988E0B" w14:textId="7C1D5D38"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Los siguientes valores corresponden al promedio simple de los 8 departamentos analizados para el año de referencia más reciente disponible</w:t>
      </w:r>
      <w:r w:rsidR="003A7003">
        <w:rPr>
          <w:rFonts w:ascii="Times New Roman" w:hAnsi="Times New Roman" w:cs="Times New Roman"/>
          <w:color w:val="000000" w:themeColor="text1"/>
          <w:sz w:val="24"/>
          <w:szCs w:val="24"/>
        </w:rPr>
        <w:t xml:space="preserve"> y sirven</w:t>
      </w:r>
      <w:r w:rsidRPr="00CB5B49">
        <w:rPr>
          <w:rFonts w:ascii="Times New Roman" w:hAnsi="Times New Roman" w:cs="Times New Roman"/>
          <w:color w:val="000000" w:themeColor="text1"/>
          <w:sz w:val="24"/>
          <w:szCs w:val="24"/>
        </w:rPr>
        <w:t xml:space="preserve"> como resumen orientativo, no como representación nacional.</w:t>
      </w:r>
    </w:p>
    <w:p w14:paraId="3D8E3468" w14:textId="77777777" w:rsidR="006435B7" w:rsidRPr="00CB5B49" w:rsidRDefault="006435B7">
      <w:pPr>
        <w:spacing w:after="100"/>
        <w:rPr>
          <w:rFonts w:ascii="Times New Roman" w:hAnsi="Times New Roman" w:cs="Times New Roman"/>
          <w:color w:val="000000" w:themeColor="text1"/>
          <w:sz w:val="24"/>
          <w:szCs w:val="24"/>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6435B7" w:rsidRPr="00CB5B49" w14:paraId="5580CB29"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7D4FBA"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b/>
                <w:bCs/>
                <w:color w:val="000000" w:themeColor="text1"/>
                <w:sz w:val="24"/>
                <w:szCs w:val="24"/>
              </w:rPr>
              <w:t>Indicador</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685329"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b/>
                <w:bCs/>
                <w:color w:val="000000" w:themeColor="text1"/>
                <w:sz w:val="24"/>
                <w:szCs w:val="24"/>
              </w:rPr>
              <w:t>Valor</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24B1566"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b/>
                <w:bCs/>
                <w:color w:val="000000" w:themeColor="text1"/>
                <w:sz w:val="24"/>
                <w:szCs w:val="24"/>
              </w:rPr>
              <w:t>Variación vs. 2019</w:t>
            </w:r>
          </w:p>
        </w:tc>
      </w:tr>
      <w:tr w:rsidR="006435B7" w:rsidRPr="00CB5B49" w14:paraId="2756FA86"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FECD52" w14:textId="77777777" w:rsidR="006435B7" w:rsidRPr="00CB5B49" w:rsidRDefault="00E26E0F">
            <w:pP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Pobreza monetaria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178C11"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27.1%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655ABF"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 −8.3 puntos</w:t>
            </w:r>
          </w:p>
        </w:tc>
      </w:tr>
      <w:tr w:rsidR="006435B7" w:rsidRPr="00CB5B49" w14:paraId="70C01933" w14:textId="77777777">
        <w:tc>
          <w:tcPr>
            <w:tcW w:w="4680" w:type="dxa"/>
            <w:tcBorders>
              <w:top w:val="single" w:sz="1" w:space="0" w:color="AAAAAA"/>
              <w:left w:val="single" w:sz="1" w:space="0" w:color="AAAAAA"/>
              <w:bottom w:val="single" w:sz="1" w:space="0" w:color="AAAAAA"/>
              <w:right w:val="single" w:sz="1" w:space="0" w:color="AAAAAA"/>
            </w:tcBorders>
            <w:shd w:val="clear" w:color="auto" w:fill="EEF4FA"/>
            <w:tcMar>
              <w:top w:w="60" w:type="dxa"/>
              <w:left w:w="120" w:type="dxa"/>
              <w:bottom w:w="60" w:type="dxa"/>
              <w:right w:w="120" w:type="dxa"/>
            </w:tcMar>
          </w:tcPr>
          <w:p w14:paraId="4ED5B5CE" w14:textId="77777777" w:rsidR="006435B7" w:rsidRPr="00CB5B49" w:rsidRDefault="00E26E0F">
            <w:pP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Pobreza extrema (%)</w:t>
            </w:r>
          </w:p>
        </w:tc>
        <w:tc>
          <w:tcPr>
            <w:tcW w:w="2340" w:type="dxa"/>
            <w:tcBorders>
              <w:top w:val="single" w:sz="1" w:space="0" w:color="AAAAAA"/>
              <w:left w:val="single" w:sz="1" w:space="0" w:color="AAAAAA"/>
              <w:bottom w:val="single" w:sz="1" w:space="0" w:color="AAAAAA"/>
              <w:right w:val="single" w:sz="1" w:space="0" w:color="AAAAAA"/>
            </w:tcBorders>
            <w:shd w:val="clear" w:color="auto" w:fill="EEF4FA"/>
            <w:tcMar>
              <w:top w:w="60" w:type="dxa"/>
              <w:left w:w="120" w:type="dxa"/>
              <w:bottom w:w="60" w:type="dxa"/>
              <w:right w:w="120" w:type="dxa"/>
            </w:tcMar>
          </w:tcPr>
          <w:p w14:paraId="77AC727B"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7.4%</w:t>
            </w:r>
          </w:p>
        </w:tc>
        <w:tc>
          <w:tcPr>
            <w:tcW w:w="2340" w:type="dxa"/>
            <w:tcBorders>
              <w:top w:val="single" w:sz="1" w:space="0" w:color="AAAAAA"/>
              <w:left w:val="single" w:sz="1" w:space="0" w:color="AAAAAA"/>
              <w:bottom w:val="single" w:sz="1" w:space="0" w:color="AAAAAA"/>
              <w:right w:val="single" w:sz="1" w:space="0" w:color="AAAAAA"/>
            </w:tcBorders>
            <w:shd w:val="clear" w:color="auto" w:fill="EEF4FA"/>
            <w:tcMar>
              <w:top w:w="60" w:type="dxa"/>
              <w:left w:w="120" w:type="dxa"/>
              <w:bottom w:w="60" w:type="dxa"/>
              <w:right w:w="120" w:type="dxa"/>
            </w:tcMar>
          </w:tcPr>
          <w:p w14:paraId="2DB0BFF0"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 −0.6 puntos</w:t>
            </w:r>
          </w:p>
        </w:tc>
      </w:tr>
      <w:tr w:rsidR="006435B7" w:rsidRPr="00CB5B49" w14:paraId="69A06B50"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93B084" w14:textId="77777777" w:rsidR="006435B7" w:rsidRPr="00CB5B49" w:rsidRDefault="00E26E0F">
            <w:pP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lastRenderedPageBreak/>
              <w:t>Coeficiente de Gini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E77C84"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0.50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A08F25"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0.0 (estable)</w:t>
            </w:r>
          </w:p>
        </w:tc>
      </w:tr>
      <w:tr w:rsidR="006435B7" w:rsidRPr="00CB5B49" w14:paraId="58F2F83A" w14:textId="77777777">
        <w:tc>
          <w:tcPr>
            <w:tcW w:w="4680" w:type="dxa"/>
            <w:tcBorders>
              <w:top w:val="single" w:sz="1" w:space="0" w:color="AAAAAA"/>
              <w:left w:val="single" w:sz="1" w:space="0" w:color="AAAAAA"/>
              <w:bottom w:val="single" w:sz="1" w:space="0" w:color="AAAAAA"/>
              <w:right w:val="single" w:sz="1" w:space="0" w:color="AAAAAA"/>
            </w:tcBorders>
            <w:shd w:val="clear" w:color="auto" w:fill="EEF4FA"/>
            <w:tcMar>
              <w:top w:w="60" w:type="dxa"/>
              <w:left w:w="120" w:type="dxa"/>
              <w:bottom w:w="60" w:type="dxa"/>
              <w:right w:w="120" w:type="dxa"/>
            </w:tcMar>
          </w:tcPr>
          <w:p w14:paraId="4A41BE71" w14:textId="77777777" w:rsidR="006435B7" w:rsidRPr="00CB5B49" w:rsidRDefault="00E26E0F">
            <w:pP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Tasa de ocupación (%)</w:t>
            </w:r>
          </w:p>
        </w:tc>
        <w:tc>
          <w:tcPr>
            <w:tcW w:w="2340" w:type="dxa"/>
            <w:tcBorders>
              <w:top w:val="single" w:sz="1" w:space="0" w:color="AAAAAA"/>
              <w:left w:val="single" w:sz="1" w:space="0" w:color="AAAAAA"/>
              <w:bottom w:val="single" w:sz="1" w:space="0" w:color="AAAAAA"/>
              <w:right w:val="single" w:sz="1" w:space="0" w:color="AAAAAA"/>
            </w:tcBorders>
            <w:shd w:val="clear" w:color="auto" w:fill="EEF4FA"/>
            <w:tcMar>
              <w:top w:w="60" w:type="dxa"/>
              <w:left w:w="120" w:type="dxa"/>
              <w:bottom w:w="60" w:type="dxa"/>
              <w:right w:w="120" w:type="dxa"/>
            </w:tcMar>
          </w:tcPr>
          <w:p w14:paraId="5733E1D8"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59.5%</w:t>
            </w:r>
          </w:p>
        </w:tc>
        <w:tc>
          <w:tcPr>
            <w:tcW w:w="2340" w:type="dxa"/>
            <w:tcBorders>
              <w:top w:val="single" w:sz="1" w:space="0" w:color="AAAAAA"/>
              <w:left w:val="single" w:sz="1" w:space="0" w:color="AAAAAA"/>
              <w:bottom w:val="single" w:sz="1" w:space="0" w:color="AAAAAA"/>
              <w:right w:val="single" w:sz="1" w:space="0" w:color="AAAAAA"/>
            </w:tcBorders>
            <w:shd w:val="clear" w:color="auto" w:fill="EEF4FA"/>
            <w:tcMar>
              <w:top w:w="60" w:type="dxa"/>
              <w:left w:w="120" w:type="dxa"/>
              <w:bottom w:w="60" w:type="dxa"/>
              <w:right w:w="120" w:type="dxa"/>
            </w:tcMar>
          </w:tcPr>
          <w:p w14:paraId="7C6C11C7"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 +0.8 puntos</w:t>
            </w:r>
          </w:p>
        </w:tc>
      </w:tr>
      <w:tr w:rsidR="006435B7" w:rsidRPr="00CB5B49" w14:paraId="17F16397"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29A95A" w14:textId="77777777" w:rsidR="006435B7" w:rsidRPr="00CB5B49" w:rsidRDefault="00E26E0F">
            <w:pP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Tasa de desocupación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52CB31"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10.0%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4A0D6A" w14:textId="77777777" w:rsidR="006435B7" w:rsidRPr="00CB5B49" w:rsidRDefault="00E26E0F">
            <w:pPr>
              <w:jc w:val="cente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 −0.4 puntos</w:t>
            </w:r>
          </w:p>
        </w:tc>
      </w:tr>
    </w:tbl>
    <w:p w14:paraId="228667A8" w14:textId="77777777" w:rsidR="006435B7" w:rsidRPr="00CB5B49" w:rsidRDefault="006435B7">
      <w:pPr>
        <w:spacing w:after="100"/>
        <w:rPr>
          <w:rFonts w:ascii="Times New Roman" w:hAnsi="Times New Roman" w:cs="Times New Roman"/>
          <w:color w:val="000000" w:themeColor="text1"/>
          <w:sz w:val="24"/>
          <w:szCs w:val="24"/>
        </w:rPr>
      </w:pPr>
    </w:p>
    <w:p w14:paraId="19435CAB" w14:textId="77777777" w:rsidR="006435B7" w:rsidRPr="00CB5B49" w:rsidRDefault="00E26E0F">
      <w:pPr>
        <w:pStyle w:val="Ttulo1"/>
        <w:pBdr>
          <w:bottom w:val="single" w:sz="8" w:space="4" w:color="2E75B6"/>
        </w:pBd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Indicadores socioeconómicos (2019–2024)</w:t>
      </w:r>
    </w:p>
    <w:p w14:paraId="4846CE48"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El análisis cubre Bogotá D.C., Atlántico, Huila, Valle del Cauca, Meta, Cundinamarca, Santander y Risaralda para el período 2019–2024.</w:t>
      </w:r>
    </w:p>
    <w:p w14:paraId="5F6488E8" w14:textId="77777777" w:rsidR="006435B7" w:rsidRPr="00CB5B49" w:rsidRDefault="00E26E0F">
      <w:pPr>
        <w:pStyle w:val="Ttulo2"/>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1. Pobreza monetaria</w:t>
      </w:r>
    </w:p>
    <w:p w14:paraId="2EE50393"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La pobreza monetaria registró su mayor salto histórico en 2020 en todos los departamentos. La recuperación fue generalizada, pero con velocidades muy distintas entre territorios. Atlántico presentó el pico más alto (cercano al 70%), mientras Bogotá D.C. mostró la pendiente de caída más pronunciada, logrando niveles inferiores a los de 2019 gracias a la reactivación del sector servicios y las transferencias monetarias condicionadas.</w:t>
      </w:r>
    </w:p>
    <w:p w14:paraId="22C6E955"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Huila y Valle del Cauca alcanzaron picos de pobreza monetaria de entre 55–60% en 2020, con recuperaciones sostenidas pero más lentas. Bogotá D.C. fue la región que mejor controló el indicador, llegando a niveles históricamente bajos en 2024.</w:t>
      </w:r>
    </w:p>
    <w:p w14:paraId="43F22DEE" w14:textId="77777777" w:rsidR="006435B7" w:rsidRPr="00CB5B49" w:rsidRDefault="00E26E0F">
      <w:pPr>
        <w:pStyle w:val="Ttulo2"/>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2. Pobreza extrema</w:t>
      </w:r>
    </w:p>
    <w:p w14:paraId="3CD8EB50" w14:textId="0301BFC3"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La pobreza extrema siguió el mismo patrón de choque y recuperación</w:t>
      </w:r>
      <w:r w:rsidR="003A7003">
        <w:rPr>
          <w:rFonts w:ascii="Times New Roman" w:hAnsi="Times New Roman" w:cs="Times New Roman"/>
          <w:color w:val="000000" w:themeColor="text1"/>
          <w:sz w:val="24"/>
          <w:szCs w:val="24"/>
        </w:rPr>
        <w:t>, su</w:t>
      </w:r>
      <w:r w:rsidRPr="00CB5B49">
        <w:rPr>
          <w:rFonts w:ascii="Times New Roman" w:hAnsi="Times New Roman" w:cs="Times New Roman"/>
          <w:color w:val="000000" w:themeColor="text1"/>
          <w:sz w:val="24"/>
          <w:szCs w:val="24"/>
        </w:rPr>
        <w:t xml:space="preserve"> pico de 2020 afectó con especial dureza a los hogares más vulnerables. En Bogotá</w:t>
      </w:r>
      <w:r w:rsidR="003A7003">
        <w:rPr>
          <w:rFonts w:ascii="Times New Roman" w:hAnsi="Times New Roman" w:cs="Times New Roman"/>
          <w:color w:val="000000" w:themeColor="text1"/>
          <w:sz w:val="24"/>
          <w:szCs w:val="24"/>
        </w:rPr>
        <w:t xml:space="preserve"> </w:t>
      </w:r>
      <w:r w:rsidRPr="00CB5B49">
        <w:rPr>
          <w:rFonts w:ascii="Times New Roman" w:hAnsi="Times New Roman" w:cs="Times New Roman"/>
          <w:color w:val="000000" w:themeColor="text1"/>
          <w:sz w:val="24"/>
          <w:szCs w:val="24"/>
        </w:rPr>
        <w:t>la pobreza extrema se triplicó entre 2019 y 2020 (de 4.2% a 13.3%), evidenciando el impacto del confinamiento sobre los trabajadores informales de la capital. Meta registró sistemáticamente los niveles más altos de pobreza extrema en la muestra, reflejando su mayor vulnerabilidad estructural.</w:t>
      </w:r>
    </w:p>
    <w:p w14:paraId="68C82C75" w14:textId="77777777" w:rsidR="006435B7" w:rsidRPr="00CB5B49" w:rsidRDefault="00E26E0F">
      <w:pPr>
        <w:pStyle w:val="Ttulo2"/>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3. Coeficiente de Gini (desigualdad)</w:t>
      </w:r>
    </w:p>
    <w:p w14:paraId="5E834C05" w14:textId="2EA79C01"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La pandemia profundizó la desigualdad en todos los departamentos en 2020, con el Gini de Bogotá alcanzando su máximo histórico (0.54)</w:t>
      </w:r>
      <w:r w:rsidR="003A7003">
        <w:rPr>
          <w:rFonts w:ascii="Times New Roman" w:hAnsi="Times New Roman" w:cs="Times New Roman"/>
          <w:color w:val="000000" w:themeColor="text1"/>
          <w:sz w:val="24"/>
          <w:szCs w:val="24"/>
        </w:rPr>
        <w:t>, l</w:t>
      </w:r>
      <w:r w:rsidRPr="00CB5B49">
        <w:rPr>
          <w:rFonts w:ascii="Times New Roman" w:hAnsi="Times New Roman" w:cs="Times New Roman"/>
          <w:color w:val="000000" w:themeColor="text1"/>
          <w:sz w:val="24"/>
          <w:szCs w:val="24"/>
        </w:rPr>
        <w:t>o</w:t>
      </w:r>
      <w:r w:rsidR="003A7003">
        <w:rPr>
          <w:rFonts w:ascii="Times New Roman" w:hAnsi="Times New Roman" w:cs="Times New Roman"/>
          <w:color w:val="000000" w:themeColor="text1"/>
          <w:sz w:val="24"/>
          <w:szCs w:val="24"/>
        </w:rPr>
        <w:t xml:space="preserve"> que</w:t>
      </w:r>
      <w:r w:rsidRPr="00CB5B49">
        <w:rPr>
          <w:rFonts w:ascii="Times New Roman" w:hAnsi="Times New Roman" w:cs="Times New Roman"/>
          <w:color w:val="000000" w:themeColor="text1"/>
          <w:sz w:val="24"/>
          <w:szCs w:val="24"/>
        </w:rPr>
        <w:t xml:space="preserve"> refleja que la crisis no afectó a todos los hogares por igual</w:t>
      </w:r>
      <w:r w:rsidR="003A7003">
        <w:rPr>
          <w:rFonts w:ascii="Times New Roman" w:hAnsi="Times New Roman" w:cs="Times New Roman"/>
          <w:color w:val="000000" w:themeColor="text1"/>
          <w:sz w:val="24"/>
          <w:szCs w:val="24"/>
        </w:rPr>
        <w:t>,</w:t>
      </w:r>
      <w:r w:rsidRPr="00CB5B49">
        <w:rPr>
          <w:rFonts w:ascii="Times New Roman" w:hAnsi="Times New Roman" w:cs="Times New Roman"/>
          <w:color w:val="000000" w:themeColor="text1"/>
          <w:sz w:val="24"/>
          <w:szCs w:val="24"/>
        </w:rPr>
        <w:t xml:space="preserve"> </w:t>
      </w:r>
      <w:r w:rsidR="003A7003">
        <w:rPr>
          <w:rFonts w:ascii="Times New Roman" w:hAnsi="Times New Roman" w:cs="Times New Roman"/>
          <w:color w:val="000000" w:themeColor="text1"/>
          <w:sz w:val="24"/>
          <w:szCs w:val="24"/>
        </w:rPr>
        <w:t xml:space="preserve">los </w:t>
      </w:r>
      <w:r w:rsidRPr="00CB5B49">
        <w:rPr>
          <w:rFonts w:ascii="Times New Roman" w:hAnsi="Times New Roman" w:cs="Times New Roman"/>
          <w:color w:val="000000" w:themeColor="text1"/>
          <w:sz w:val="24"/>
          <w:szCs w:val="24"/>
        </w:rPr>
        <w:t>trabajadores de menores ingresos y la economía informal fueron los más golpeados</w:t>
      </w:r>
      <w:r w:rsidR="008B47EE">
        <w:rPr>
          <w:rFonts w:ascii="Times New Roman" w:hAnsi="Times New Roman" w:cs="Times New Roman"/>
          <w:color w:val="000000" w:themeColor="text1"/>
          <w:sz w:val="24"/>
          <w:szCs w:val="24"/>
        </w:rPr>
        <w:t xml:space="preserve">, algo que se encontró, </w:t>
      </w:r>
      <w:r w:rsidRPr="00CB5B49">
        <w:rPr>
          <w:rFonts w:ascii="Times New Roman" w:hAnsi="Times New Roman" w:cs="Times New Roman"/>
          <w:color w:val="000000" w:themeColor="text1"/>
          <w:sz w:val="24"/>
          <w:szCs w:val="24"/>
        </w:rPr>
        <w:t>es que Bogotá es consistentemente el departamento más desigual, aunque tiene menor pobreza que regiones como Meta</w:t>
      </w:r>
      <w:r w:rsidR="008B47EE">
        <w:rPr>
          <w:rFonts w:ascii="Times New Roman" w:hAnsi="Times New Roman" w:cs="Times New Roman"/>
          <w:color w:val="000000" w:themeColor="text1"/>
          <w:sz w:val="24"/>
          <w:szCs w:val="24"/>
        </w:rPr>
        <w:t>, es</w:t>
      </w:r>
      <w:r w:rsidRPr="00CB5B49">
        <w:rPr>
          <w:rFonts w:ascii="Times New Roman" w:hAnsi="Times New Roman" w:cs="Times New Roman"/>
          <w:color w:val="000000" w:themeColor="text1"/>
          <w:sz w:val="24"/>
          <w:szCs w:val="24"/>
        </w:rPr>
        <w:t>to se explica por la coexistencia de sectores de altísima productividad (tecnología, finanzas) con una enorme masa de trabajadores informales. Cundinamarca y Meta presentan un Gini más bajo (alrededor de 0.49), no porque haya más riqueza, sino porque los ingresos están distribuidos en niveles más bajos o informales.</w:t>
      </w:r>
    </w:p>
    <w:p w14:paraId="6E084790"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Para 2023, el Gini regresó a los niveles prepandemia en los tres territorios analizados (alrededor de 0.49–0.50), lo que indica que las políticas de reactivación y las transferencias monetarias lograron corregir parcialmente la desviación distributiva provocada por la crisis.</w:t>
      </w:r>
    </w:p>
    <w:p w14:paraId="4EAE40CB" w14:textId="77777777" w:rsidR="006435B7" w:rsidRPr="00CB5B49" w:rsidRDefault="00E26E0F">
      <w:pPr>
        <w:pStyle w:val="Ttulo2"/>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4. Mercado laboral: Tasa de ocupación y desocupación</w:t>
      </w:r>
    </w:p>
    <w:p w14:paraId="0DF891BA"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lastRenderedPageBreak/>
        <w:t>La recuperación del empleo ha sido el principal motor de la reducción de la pobreza en la postpandemia.</w:t>
      </w:r>
    </w:p>
    <w:p w14:paraId="13FB4837"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Bogotá D.C.: presenta la recuperación más robusta. Para 2024, su Tasa de Ocupación (66.2%) ya supera los niveles prepandemia (63.5%), logrando reducir la desocupación a un solo dígito (9.3%).</w:t>
      </w:r>
    </w:p>
    <w:p w14:paraId="2A0E2FF0"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Meta: aunque mejoró significativamente desde el 19.9% de desempleo en 2020 hasta el 9.5% en 2024, su Tasa de Ocupación (58.8%) aún no retorna al nivel de 2019 (59.6%), sugiriendo una recuperación más lenta en la creación de nuevos empleos formales.</w:t>
      </w:r>
    </w:p>
    <w:p w14:paraId="7D51C860"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Cundinamarca: muestra estabilidad notable, bajando su desocupación al 10.6% en 2024, muy cercano a sus niveles históricos.</w:t>
      </w:r>
    </w:p>
    <w:p w14:paraId="458101F0"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La menor tasa de desocupación en Meta en los últimos años no debe leerse como un éxito total: coincide con una Tasa de Ocupación relativamente baja, lo que sugiere que parte de la población dejó de buscar empleo formal y se refugió en la informalidad o salió del mercado laboral.</w:t>
      </w:r>
    </w:p>
    <w:p w14:paraId="01341FCB" w14:textId="77777777" w:rsidR="006435B7" w:rsidRPr="00CB5B49" w:rsidRDefault="006435B7">
      <w:pPr>
        <w:spacing w:after="100"/>
        <w:rPr>
          <w:rFonts w:ascii="Times New Roman" w:hAnsi="Times New Roman" w:cs="Times New Roman"/>
          <w:color w:val="000000" w:themeColor="text1"/>
          <w:sz w:val="24"/>
          <w:szCs w:val="24"/>
        </w:rPr>
      </w:pPr>
    </w:p>
    <w:p w14:paraId="47B46CC9" w14:textId="77777777" w:rsidR="006435B7" w:rsidRPr="00CB5B49" w:rsidRDefault="00E26E0F">
      <w:pPr>
        <w:pStyle w:val="Ttulo1"/>
        <w:pBdr>
          <w:bottom w:val="single" w:sz="8" w:space="4" w:color="2E75B6"/>
        </w:pBd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Ingresos departamentales (2021–2025)</w:t>
      </w:r>
    </w:p>
    <w:p w14:paraId="6FBE4424"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Los ingresos departamentales dependen principalmente de transferencias nacionales (SGP) y regalías. Bogotá D.C. concentra una gran parte del recaudo total del país, lo que genera asimetrías fiscales importantes frente al resto de los departamentos.</w:t>
      </w:r>
    </w:p>
    <w:p w14:paraId="71491EAC"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El análisis de ingresos fiscales completa el diagnóstico socioeconómico, ya que la capacidad de gasto de cada departamento determina en buena medida su capacidad para implementar políticas de reducción de pobreza, inversión social e infraestructura.</w:t>
      </w:r>
    </w:p>
    <w:p w14:paraId="1D2AA798" w14:textId="77777777" w:rsidR="006435B7" w:rsidRPr="00CB5B49" w:rsidRDefault="00E26E0F">
      <w:pPr>
        <w:pStyle w:val="Ttulo2"/>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Estructura de ingresos por departamento</w:t>
      </w:r>
    </w:p>
    <w:p w14:paraId="086C367B"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 xml:space="preserve">Para el año 2024, el ranking de ingresos departamentales muestra que los territorios de la región </w:t>
      </w:r>
      <w:proofErr w:type="spellStart"/>
      <w:r w:rsidRPr="00CB5B49">
        <w:rPr>
          <w:rFonts w:ascii="Times New Roman" w:hAnsi="Times New Roman" w:cs="Times New Roman"/>
          <w:color w:val="000000" w:themeColor="text1"/>
          <w:sz w:val="24"/>
          <w:szCs w:val="24"/>
        </w:rPr>
        <w:t>CentroOriente</w:t>
      </w:r>
      <w:proofErr w:type="spellEnd"/>
      <w:r w:rsidRPr="00CB5B49">
        <w:rPr>
          <w:rFonts w:ascii="Times New Roman" w:hAnsi="Times New Roman" w:cs="Times New Roman"/>
          <w:color w:val="000000" w:themeColor="text1"/>
          <w:sz w:val="24"/>
          <w:szCs w:val="24"/>
        </w:rPr>
        <w:t xml:space="preserve"> (incluyendo Bogotá y Cundinamarca) concentran los mayores recursos fiscales. Las regiones Caribe (Atlántico, Bolívar, Magdalena, Córdoba, Cesar) presentan menores niveles de ingresos propios, siendo más dependientes de transferencias nacionales.</w:t>
      </w:r>
    </w:p>
    <w:p w14:paraId="3A72D25E"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Los departamentos con mayor autonomía fiscal tienden a tener mejores indicadores socioeconómicos, aunque esta correlación no es perfecta: regiones con altas regalías por recursos naturales (como Meta) pueden tener ingresos elevados pero persistentes niveles de pobreza y desigualdad estructural.</w:t>
      </w:r>
    </w:p>
    <w:p w14:paraId="61FD3723" w14:textId="77777777" w:rsidR="006435B7" w:rsidRPr="00CB5B49" w:rsidRDefault="00E26E0F">
      <w:pPr>
        <w:pStyle w:val="Ttulo2"/>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Dependencia del SGP y regalías</w:t>
      </w:r>
    </w:p>
    <w:p w14:paraId="4A39357F"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 xml:space="preserve">Una proporción significativa de los ingresos departamentales proviene del Sistema General de Participaciones (SGP), cuya distribución responde a criterios de población, pobreza y eficiencia administrativa. Los departamentos con mayor proporción de regalías en su estructura de ingresos son más vulnerables a las fluctuaciones de los precios internacionales de los </w:t>
      </w:r>
      <w:proofErr w:type="spellStart"/>
      <w:r w:rsidRPr="00CB5B49">
        <w:rPr>
          <w:rFonts w:ascii="Times New Roman" w:hAnsi="Times New Roman" w:cs="Times New Roman"/>
          <w:color w:val="000000" w:themeColor="text1"/>
          <w:sz w:val="24"/>
          <w:szCs w:val="24"/>
        </w:rPr>
        <w:t>commodities</w:t>
      </w:r>
      <w:proofErr w:type="spellEnd"/>
      <w:r w:rsidRPr="00CB5B49">
        <w:rPr>
          <w:rFonts w:ascii="Times New Roman" w:hAnsi="Times New Roman" w:cs="Times New Roman"/>
          <w:color w:val="000000" w:themeColor="text1"/>
          <w:sz w:val="24"/>
          <w:szCs w:val="24"/>
        </w:rPr>
        <w:t>, lo que genera volatilidad en su capacidad de gasto social.</w:t>
      </w:r>
    </w:p>
    <w:p w14:paraId="0FC625AD" w14:textId="77777777" w:rsidR="006435B7" w:rsidRPr="00CB5B49" w:rsidRDefault="006435B7">
      <w:pPr>
        <w:spacing w:after="100"/>
        <w:rPr>
          <w:rFonts w:ascii="Times New Roman" w:hAnsi="Times New Roman" w:cs="Times New Roman"/>
          <w:color w:val="000000" w:themeColor="text1"/>
          <w:sz w:val="24"/>
          <w:szCs w:val="24"/>
        </w:rPr>
      </w:pPr>
    </w:p>
    <w:p w14:paraId="3FA01DD6" w14:textId="77777777" w:rsidR="006435B7" w:rsidRPr="00CB5B49" w:rsidRDefault="00E26E0F">
      <w:pPr>
        <w:pStyle w:val="Ttulo1"/>
        <w:pBdr>
          <w:bottom w:val="single" w:sz="8" w:space="4" w:color="2E75B6"/>
        </w:pBd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lastRenderedPageBreak/>
        <w:t>Análisis comparativo entre territorios</w:t>
      </w:r>
    </w:p>
    <w:p w14:paraId="7CA57939" w14:textId="77777777" w:rsidR="006435B7" w:rsidRPr="00CB5B49" w:rsidRDefault="00E26E0F">
      <w:pPr>
        <w:pStyle w:val="Ttulo2"/>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El choque pandémico (2020): el año de la crisis</w:t>
      </w:r>
    </w:p>
    <w:p w14:paraId="732881C8"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El año 2020 marcó el punto crítico para todos los departamentos analizados. El salto en pobreza extrema fue generalizado, pero con intensidades diferenciadas según la estructura productiva de cada territorio. Los departamentos con mayor informalidad laboral y menor diversificación económica fueron los más afectados.</w:t>
      </w:r>
    </w:p>
    <w:p w14:paraId="7407BC15"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En términos de desigualdad, el Coeficiente de Gini aumentó en todos los territorios, alcanzando su punto máximo en Bogotá (0.54) y los demás departamentos (0.51–0.52). Esto confirma que la pandemia no solo destruyó empleos, sino que afectó desproporcionadamente a los hogares de menores ingresos.</w:t>
      </w:r>
    </w:p>
    <w:p w14:paraId="67C75728" w14:textId="77777777" w:rsidR="006435B7" w:rsidRPr="00CB5B49" w:rsidRDefault="00E26E0F">
      <w:pPr>
        <w:pStyle w:val="Ttulo2"/>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Trayectorias diferenciadas de recuperación</w:t>
      </w:r>
    </w:p>
    <w:p w14:paraId="6567782A"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Un hallazgo fundamental es que, para 2023 y 2024, los niveles de pobreza monetaria son inferiores a los registrados antes de la pandemia en los departamentos analizados. Esto sugiere que la combinación de reactivación económica, transferencias monetarias y recuperación del empleo logró no solo revertir el daño pandémico sino mejorar las condiciones respecto al escenario prepandemia.</w:t>
      </w:r>
    </w:p>
    <w:p w14:paraId="4D79CCE8"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Sin embargo, persisten brechas importantes entre territorios. Bogotá y los departamentos con economías más diversificadas y mayor capacidad institucional presentan indicadores claramente mejores que los departamentos con estructuras económicas más primarias o extractivas.</w:t>
      </w:r>
    </w:p>
    <w:p w14:paraId="54B6BE77" w14:textId="77777777" w:rsidR="006435B7" w:rsidRPr="00CB5B49" w:rsidRDefault="00E26E0F">
      <w:pPr>
        <w:pStyle w:val="Ttulo2"/>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Comparativa territorial: hallazgos clave</w:t>
      </w:r>
    </w:p>
    <w:p w14:paraId="01B5C170"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Resiliencia urbana vs. vulnerabilidad regional: Bogotá demostró una mayor capacidad de rebote. Sus herramientas tecnológicas, diversificación económica y redes de transferencia permitieron reducir la pobreza más rápido.</w:t>
      </w:r>
    </w:p>
    <w:p w14:paraId="34CA8FE0"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La trampa de la informalidad: En varios departamentos, la reducción del desempleo no se traduce directamente en bienestar, ya que refleja en parte un aumento de la informalidad y la salida del mercado laboral.</w:t>
      </w:r>
    </w:p>
    <w:p w14:paraId="59FE41F8"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Desigualdad estructural: La crisis de 2020 no cambió el orden jerárquico de la desigualdad. Los territorios más desarrollados económicamente siguen siendo los más desiguales internamente, mientras los menos desarrollados muestran menor Gini pero mayor pobreza.</w:t>
      </w:r>
    </w:p>
    <w:p w14:paraId="0A359D6A"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Ingresos fiscales y capacidad de respuesta: Los departamentos con mayor autonomía fiscal pudieron implementar políticas de reactivación más robustas, lo que se refleja en una recuperación socioeconómica más rápida.</w:t>
      </w:r>
    </w:p>
    <w:p w14:paraId="45E4A893" w14:textId="77777777" w:rsidR="006435B7" w:rsidRPr="00CB5B49" w:rsidRDefault="006435B7">
      <w:pPr>
        <w:spacing w:after="100"/>
        <w:rPr>
          <w:rFonts w:ascii="Times New Roman" w:hAnsi="Times New Roman" w:cs="Times New Roman"/>
          <w:color w:val="000000" w:themeColor="text1"/>
          <w:sz w:val="24"/>
          <w:szCs w:val="24"/>
        </w:rPr>
      </w:pPr>
    </w:p>
    <w:p w14:paraId="7023EAAA" w14:textId="77777777" w:rsidR="006435B7" w:rsidRPr="00CB5B49" w:rsidRDefault="00E26E0F">
      <w:pPr>
        <w:pStyle w:val="Ttulo1"/>
        <w:pBdr>
          <w:bottom w:val="single" w:sz="8" w:space="4" w:color="2E75B6"/>
        </w:pBd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Conclusiones</w:t>
      </w:r>
    </w:p>
    <w:p w14:paraId="2CEE5EBD" w14:textId="77777777" w:rsidR="006435B7" w:rsidRPr="00CB5B49" w:rsidRDefault="00E26E0F">
      <w:pPr>
        <w:spacing w:after="12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El análisis de los indicadores socioeconómicos y fiscales de los departamentos colombianos entre 2019 y 2024 permite identificar patrones claros de impacto pandémico y recuperación heterogénea:</w:t>
      </w:r>
    </w:p>
    <w:p w14:paraId="4FB5508D"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lastRenderedPageBreak/>
        <w:t>La pandemia generó el mayor choque socioeconómico de la historia reciente en Colombia, con efectos visibles en pobreza, desempleo y desigualdad durante 2020.</w:t>
      </w:r>
    </w:p>
    <w:p w14:paraId="79E00D88"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La recuperación ha sido real pero desigual: los departamentos con economías más diversificadas y mayor capacidad fiscal se recuperaron más rápido y llegaron a mejores indicadores que los prepandemia.</w:t>
      </w:r>
    </w:p>
    <w:p w14:paraId="23741238" w14:textId="0BE3E0BE"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El mercado laboral es el principal motor de recuperación, pero la calidad del empleo generado especialmente el grado de informalidad</w:t>
      </w:r>
      <w:r w:rsidR="00FC2AA8">
        <w:rPr>
          <w:rFonts w:ascii="Times New Roman" w:hAnsi="Times New Roman" w:cs="Times New Roman"/>
          <w:color w:val="000000" w:themeColor="text1"/>
          <w:sz w:val="24"/>
          <w:szCs w:val="24"/>
        </w:rPr>
        <w:t xml:space="preserve"> </w:t>
      </w:r>
      <w:r w:rsidRPr="00CB5B49">
        <w:rPr>
          <w:rFonts w:ascii="Times New Roman" w:hAnsi="Times New Roman" w:cs="Times New Roman"/>
          <w:color w:val="000000" w:themeColor="text1"/>
          <w:sz w:val="24"/>
          <w:szCs w:val="24"/>
        </w:rPr>
        <w:t>sigue siendo el desafío pendiente.</w:t>
      </w:r>
    </w:p>
    <w:p w14:paraId="36EBB2E7"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La desigualdad estructural persiste: el Gini regresó a niveles prepandemia, pero las brechas territoriales entre departamentos no se han cerrado significativamente.</w:t>
      </w:r>
    </w:p>
    <w:p w14:paraId="0B3B297A"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Los ingresos departamentales muestran una alta dependencia de transferencias nacionales y regalías, lo que limita la autonomía fiscal de muchos territorios para implementar políticas de desarrollo sostenido.</w:t>
      </w:r>
    </w:p>
    <w:p w14:paraId="77B2F3D3" w14:textId="77777777" w:rsidR="006435B7" w:rsidRPr="00CB5B49" w:rsidRDefault="006435B7">
      <w:pPr>
        <w:spacing w:after="100"/>
        <w:rPr>
          <w:rFonts w:ascii="Times New Roman" w:hAnsi="Times New Roman" w:cs="Times New Roman"/>
          <w:color w:val="000000" w:themeColor="text1"/>
          <w:sz w:val="24"/>
          <w:szCs w:val="24"/>
        </w:rPr>
      </w:pPr>
    </w:p>
    <w:p w14:paraId="2740E2EF" w14:textId="77777777" w:rsidR="006435B7" w:rsidRPr="00CB5B49" w:rsidRDefault="00E26E0F">
      <w:pPr>
        <w:pStyle w:val="Ttulo1"/>
        <w:pBdr>
          <w:bottom w:val="single" w:sz="8" w:space="4" w:color="2E75B6"/>
        </w:pBdr>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Fuentes</w:t>
      </w:r>
    </w:p>
    <w:p w14:paraId="7F4EB945"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DANE – GEIH microdatos 2019–2024 (ECV/GEIH)</w:t>
      </w:r>
    </w:p>
    <w:p w14:paraId="0A269317"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Ministerio de Hacienda (FUT) – CIFFIT / CUIPO, ejecución de ingresos 2021–2025</w:t>
      </w:r>
    </w:p>
    <w:p w14:paraId="04E598F9"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DNP – CIFFIT</w:t>
      </w:r>
    </w:p>
    <w:p w14:paraId="772A4419" w14:textId="77777777" w:rsidR="006435B7" w:rsidRPr="00CB5B49"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Boletín interactivo: https://boletin-des.streamlit.app/</w:t>
      </w:r>
    </w:p>
    <w:p w14:paraId="2B836367" w14:textId="77777777" w:rsidR="006435B7" w:rsidRDefault="00E26E0F">
      <w:pPr>
        <w:pStyle w:val="Prrafodelista"/>
        <w:numPr>
          <w:ilvl w:val="0"/>
          <w:numId w:val="2"/>
        </w:numPr>
        <w:spacing w:after="80"/>
        <w:jc w:val="both"/>
        <w:rPr>
          <w:rFonts w:ascii="Times New Roman" w:hAnsi="Times New Roman" w:cs="Times New Roman"/>
          <w:color w:val="000000" w:themeColor="text1"/>
          <w:sz w:val="24"/>
          <w:szCs w:val="24"/>
        </w:rPr>
      </w:pPr>
      <w:r w:rsidRPr="00CB5B49">
        <w:rPr>
          <w:rFonts w:ascii="Times New Roman" w:hAnsi="Times New Roman" w:cs="Times New Roman"/>
          <w:color w:val="000000" w:themeColor="text1"/>
          <w:sz w:val="24"/>
          <w:szCs w:val="24"/>
        </w:rPr>
        <w:t>Facultad de Economía de la Universidad Santo Tomás (USTA) – Proyecto académico</w:t>
      </w:r>
    </w:p>
    <w:p w14:paraId="74D0C97A" w14:textId="4306266D" w:rsidR="00FC2AA8" w:rsidRPr="00CB5B49" w:rsidRDefault="00FC2AA8">
      <w:pPr>
        <w:pStyle w:val="Prrafodelista"/>
        <w:numPr>
          <w:ilvl w:val="0"/>
          <w:numId w:val="2"/>
        </w:numPr>
        <w:spacing w:after="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IA Claude </w:t>
      </w:r>
      <w:r w:rsidRPr="00FC2AA8">
        <w:rPr>
          <w:rFonts w:ascii="Times New Roman" w:hAnsi="Times New Roman" w:cs="Times New Roman"/>
          <w:color w:val="000000" w:themeColor="text1"/>
          <w:sz w:val="24"/>
          <w:szCs w:val="24"/>
        </w:rPr>
        <w:t xml:space="preserve">– para </w:t>
      </w:r>
      <w:r>
        <w:rPr>
          <w:rFonts w:ascii="Times New Roman" w:hAnsi="Times New Roman" w:cs="Times New Roman"/>
          <w:color w:val="000000" w:themeColor="text1"/>
          <w:sz w:val="24"/>
          <w:szCs w:val="24"/>
        </w:rPr>
        <w:t xml:space="preserve">una parte de la </w:t>
      </w:r>
      <w:r w:rsidRPr="00FC2AA8">
        <w:rPr>
          <w:rFonts w:ascii="Times New Roman" w:hAnsi="Times New Roman" w:cs="Times New Roman"/>
          <w:color w:val="000000" w:themeColor="text1"/>
          <w:sz w:val="24"/>
          <w:szCs w:val="24"/>
        </w:rPr>
        <w:t>redacci</w:t>
      </w:r>
      <w:r>
        <w:rPr>
          <w:rFonts w:ascii="Times New Roman" w:hAnsi="Times New Roman" w:cs="Times New Roman"/>
          <w:color w:val="000000" w:themeColor="text1"/>
          <w:sz w:val="24"/>
          <w:szCs w:val="24"/>
        </w:rPr>
        <w:t>ón.</w:t>
      </w:r>
    </w:p>
    <w:p w14:paraId="6A8924AE" w14:textId="77777777" w:rsidR="006435B7" w:rsidRPr="00CB5B49" w:rsidRDefault="006435B7">
      <w:pPr>
        <w:spacing w:after="100"/>
        <w:rPr>
          <w:rFonts w:ascii="Times New Roman" w:hAnsi="Times New Roman" w:cs="Times New Roman"/>
          <w:color w:val="000000" w:themeColor="text1"/>
          <w:sz w:val="24"/>
          <w:szCs w:val="24"/>
        </w:rPr>
      </w:pPr>
    </w:p>
    <w:p w14:paraId="2A51253E" w14:textId="77777777" w:rsidR="006435B7" w:rsidRPr="00CB5B49" w:rsidRDefault="00E26E0F">
      <w:pPr>
        <w:pBdr>
          <w:top w:val="single" w:sz="4" w:space="8" w:color="CCCCCC"/>
        </w:pBdr>
        <w:spacing w:before="240"/>
        <w:rPr>
          <w:rFonts w:ascii="Times New Roman" w:hAnsi="Times New Roman" w:cs="Times New Roman"/>
          <w:color w:val="000000" w:themeColor="text1"/>
          <w:sz w:val="24"/>
          <w:szCs w:val="24"/>
        </w:rPr>
      </w:pPr>
      <w:r w:rsidRPr="00CB5B49">
        <w:rPr>
          <w:rFonts w:ascii="Times New Roman" w:hAnsi="Times New Roman" w:cs="Times New Roman"/>
          <w:i/>
          <w:iCs/>
          <w:color w:val="000000" w:themeColor="text1"/>
          <w:sz w:val="24"/>
          <w:szCs w:val="24"/>
        </w:rPr>
        <w:t>Nota: Los valores presentados corresponden a los datos disponibles en el boletín interactivo para los 8 departamentos seleccionados. Para consultar los 32 departamentos de Colombia, visite el boletín en línea.</w:t>
      </w:r>
    </w:p>
    <w:sectPr w:rsidR="006435B7" w:rsidRPr="00CB5B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21C20"/>
    <w:multiLevelType w:val="hybridMultilevel"/>
    <w:tmpl w:val="FFFFFFFF"/>
    <w:lvl w:ilvl="0" w:tplc="57862C46">
      <w:start w:val="1"/>
      <w:numFmt w:val="bullet"/>
      <w:lvlText w:val="●"/>
      <w:lvlJc w:val="left"/>
      <w:pPr>
        <w:ind w:left="720" w:hanging="360"/>
      </w:pPr>
    </w:lvl>
    <w:lvl w:ilvl="1" w:tplc="E416C17A">
      <w:start w:val="1"/>
      <w:numFmt w:val="bullet"/>
      <w:lvlText w:val="○"/>
      <w:lvlJc w:val="left"/>
      <w:pPr>
        <w:ind w:left="1440" w:hanging="360"/>
      </w:pPr>
    </w:lvl>
    <w:lvl w:ilvl="2" w:tplc="F5B0EF62">
      <w:start w:val="1"/>
      <w:numFmt w:val="bullet"/>
      <w:lvlText w:val="■"/>
      <w:lvlJc w:val="left"/>
      <w:pPr>
        <w:ind w:left="2160" w:hanging="360"/>
      </w:pPr>
    </w:lvl>
    <w:lvl w:ilvl="3" w:tplc="038C6E40">
      <w:start w:val="1"/>
      <w:numFmt w:val="bullet"/>
      <w:lvlText w:val="●"/>
      <w:lvlJc w:val="left"/>
      <w:pPr>
        <w:ind w:left="2880" w:hanging="360"/>
      </w:pPr>
    </w:lvl>
    <w:lvl w:ilvl="4" w:tplc="0D8297B6">
      <w:start w:val="1"/>
      <w:numFmt w:val="bullet"/>
      <w:lvlText w:val="○"/>
      <w:lvlJc w:val="left"/>
      <w:pPr>
        <w:ind w:left="3600" w:hanging="360"/>
      </w:pPr>
    </w:lvl>
    <w:lvl w:ilvl="5" w:tplc="9CF84E52">
      <w:start w:val="1"/>
      <w:numFmt w:val="bullet"/>
      <w:lvlText w:val="■"/>
      <w:lvlJc w:val="left"/>
      <w:pPr>
        <w:ind w:left="4320" w:hanging="360"/>
      </w:pPr>
    </w:lvl>
    <w:lvl w:ilvl="6" w:tplc="0AC20EF4">
      <w:start w:val="1"/>
      <w:numFmt w:val="bullet"/>
      <w:lvlText w:val="●"/>
      <w:lvlJc w:val="left"/>
      <w:pPr>
        <w:ind w:left="5040" w:hanging="360"/>
      </w:pPr>
    </w:lvl>
    <w:lvl w:ilvl="7" w:tplc="28406CC0">
      <w:start w:val="1"/>
      <w:numFmt w:val="bullet"/>
      <w:lvlText w:val="●"/>
      <w:lvlJc w:val="left"/>
      <w:pPr>
        <w:ind w:left="5760" w:hanging="360"/>
      </w:pPr>
    </w:lvl>
    <w:lvl w:ilvl="8" w:tplc="8B9A026C">
      <w:start w:val="1"/>
      <w:numFmt w:val="bullet"/>
      <w:lvlText w:val="●"/>
      <w:lvlJc w:val="left"/>
      <w:pPr>
        <w:ind w:left="6480" w:hanging="360"/>
      </w:pPr>
    </w:lvl>
  </w:abstractNum>
  <w:abstractNum w:abstractNumId="1" w15:restartNumberingAfterBreak="0">
    <w:nsid w:val="35110A99"/>
    <w:multiLevelType w:val="hybridMultilevel"/>
    <w:tmpl w:val="FFFFFFFF"/>
    <w:lvl w:ilvl="0" w:tplc="75EA1C28">
      <w:start w:val="1"/>
      <w:numFmt w:val="bullet"/>
      <w:lvlText w:val="•"/>
      <w:lvlJc w:val="left"/>
      <w:pPr>
        <w:ind w:left="720" w:hanging="360"/>
      </w:pPr>
    </w:lvl>
    <w:lvl w:ilvl="1" w:tplc="9378F5A4">
      <w:numFmt w:val="decimal"/>
      <w:lvlText w:val=""/>
      <w:lvlJc w:val="left"/>
    </w:lvl>
    <w:lvl w:ilvl="2" w:tplc="1EB8C66C">
      <w:numFmt w:val="decimal"/>
      <w:lvlText w:val=""/>
      <w:lvlJc w:val="left"/>
    </w:lvl>
    <w:lvl w:ilvl="3" w:tplc="9A88CE30">
      <w:numFmt w:val="decimal"/>
      <w:lvlText w:val=""/>
      <w:lvlJc w:val="left"/>
    </w:lvl>
    <w:lvl w:ilvl="4" w:tplc="99668CB6">
      <w:numFmt w:val="decimal"/>
      <w:lvlText w:val=""/>
      <w:lvlJc w:val="left"/>
    </w:lvl>
    <w:lvl w:ilvl="5" w:tplc="CD0CD3C0">
      <w:numFmt w:val="decimal"/>
      <w:lvlText w:val=""/>
      <w:lvlJc w:val="left"/>
    </w:lvl>
    <w:lvl w:ilvl="6" w:tplc="26A04538">
      <w:numFmt w:val="decimal"/>
      <w:lvlText w:val=""/>
      <w:lvlJc w:val="left"/>
    </w:lvl>
    <w:lvl w:ilvl="7" w:tplc="FA4A7C8E">
      <w:numFmt w:val="decimal"/>
      <w:lvlText w:val=""/>
      <w:lvlJc w:val="left"/>
    </w:lvl>
    <w:lvl w:ilvl="8" w:tplc="CDD27A96">
      <w:numFmt w:val="decimal"/>
      <w:lvlText w:val=""/>
      <w:lvlJc w:val="left"/>
    </w:lvl>
  </w:abstractNum>
  <w:num w:numId="1" w16cid:durableId="1827627812">
    <w:abstractNumId w:val="0"/>
    <w:lvlOverride w:ilvl="0">
      <w:startOverride w:val="1"/>
    </w:lvlOverride>
  </w:num>
  <w:num w:numId="2" w16cid:durableId="876536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5B7"/>
    <w:rsid w:val="000B42D4"/>
    <w:rsid w:val="003A7003"/>
    <w:rsid w:val="00483094"/>
    <w:rsid w:val="005C4AB7"/>
    <w:rsid w:val="006034A5"/>
    <w:rsid w:val="006435B7"/>
    <w:rsid w:val="0064506C"/>
    <w:rsid w:val="007E7F55"/>
    <w:rsid w:val="00823FCC"/>
    <w:rsid w:val="008B47EE"/>
    <w:rsid w:val="009B6F72"/>
    <w:rsid w:val="00BC160A"/>
    <w:rsid w:val="00C12993"/>
    <w:rsid w:val="00C30D98"/>
    <w:rsid w:val="00CB5B49"/>
    <w:rsid w:val="00DC3EB9"/>
    <w:rsid w:val="00E02205"/>
    <w:rsid w:val="00E26E0F"/>
    <w:rsid w:val="00F35CDD"/>
    <w:rsid w:val="00F3601E"/>
    <w:rsid w:val="00FC2AA8"/>
    <w:rsid w:val="34E3B40C"/>
    <w:rsid w:val="63E40E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D88A"/>
  <w15:docId w15:val="{01973B68-3D50-4257-88E8-D6331B9A6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2128</Words>
  <Characters>12135</Characters>
  <Application>Microsoft Office Word</Application>
  <DocSecurity>0</DocSecurity>
  <Lines>101</Lines>
  <Paragraphs>28</Paragraphs>
  <ScaleCrop>false</ScaleCrop>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Sebastian Melo</cp:lastModifiedBy>
  <cp:revision>13</cp:revision>
  <dcterms:created xsi:type="dcterms:W3CDTF">2026-04-07T15:38:00Z</dcterms:created>
  <dcterms:modified xsi:type="dcterms:W3CDTF">2026-04-07T19:54:00Z</dcterms:modified>
</cp:coreProperties>
</file>