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1tuar6faub1i"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5"/>
        <w:gridCol w:w="6840"/>
        <w:tblGridChange w:id="0">
          <w:tblGrid>
            <w:gridCol w:w="2805"/>
            <w:gridCol w:w="684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El proyecto DuocGo se encuentra actualmente en la fase de desarrollo, trabajando bajo la metodología ágil Scrum y con un equipo conformado por tres integrantes con roles definidos (Product Owner, Scrum Master y Developer). Durante este periodo se han completado las etapas iniciales de levantamiento de requerimientos, definición de épicas e historias de usuario, priorización con el método MoSCoW y estimación de esfuerzo mediante Planning Poker.</w:t>
            </w:r>
          </w:p>
          <w:p w:rsidR="00000000" w:rsidDel="00000000" w:rsidP="00000000" w:rsidRDefault="00000000" w:rsidRPr="00000000" w14:paraId="0000000F">
            <w:pPr>
              <w:jc w:val="both"/>
              <w:rPr>
                <w:i w:val="1"/>
                <w:color w:val="548dd4"/>
                <w:sz w:val="20"/>
                <w:szCs w:val="20"/>
              </w:rPr>
            </w:pPr>
            <w:r w:rsidDel="00000000" w:rsidR="00000000" w:rsidRPr="00000000">
              <w:rPr>
                <w:rtl w:val="0"/>
              </w:rPr>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Actualmente, el equipo se encuentra ejecutando los sprints planificados, centrados en funcionalidades críticas como la autenticación de usuarios, la gestión de productos, el carrito de compras, la integración con pagos JUNAEB y el sistema de notificaciones. Las actividades se desarrollan de acuerdo con la planificación inicial, ajustada para considerar feriados nacionales y tiempos reales de desarrollo.</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Implementar una aplicación móvil que permita a estudiantes y profesores comprar productos en la universidad sin necesidad de filas.</w:t>
            </w:r>
          </w:p>
          <w:p w:rsidR="00000000" w:rsidDel="00000000" w:rsidP="00000000" w:rsidRDefault="00000000" w:rsidRPr="00000000" w14:paraId="00000013">
            <w:pPr>
              <w:jc w:val="both"/>
              <w:rPr>
                <w:i w:val="1"/>
                <w:color w:val="548dd4"/>
                <w:sz w:val="20"/>
                <w:szCs w:val="20"/>
              </w:rPr>
            </w:pPr>
            <w:r w:rsidDel="00000000" w:rsidR="00000000" w:rsidRPr="00000000">
              <w:rPr>
                <w:rtl w:val="0"/>
              </w:rPr>
            </w:r>
          </w:p>
          <w:p w:rsidR="00000000" w:rsidDel="00000000" w:rsidP="00000000" w:rsidRDefault="00000000" w:rsidRPr="00000000" w14:paraId="00000014">
            <w:pPr>
              <w:jc w:val="both"/>
              <w:rPr>
                <w:i w:val="1"/>
                <w:color w:val="548dd4"/>
                <w:sz w:val="20"/>
                <w:szCs w:val="20"/>
              </w:rPr>
            </w:pPr>
            <w:r w:rsidDel="00000000" w:rsidR="00000000" w:rsidRPr="00000000">
              <w:rPr>
                <w:i w:val="1"/>
                <w:color w:val="548dd4"/>
                <w:sz w:val="20"/>
                <w:szCs w:val="20"/>
                <w:rtl w:val="0"/>
              </w:rPr>
              <w:t xml:space="preserve">Automatizar procesos de compra, retiro y gestión de stock.</w:t>
            </w:r>
          </w:p>
          <w:p w:rsidR="00000000" w:rsidDel="00000000" w:rsidP="00000000" w:rsidRDefault="00000000" w:rsidRPr="00000000" w14:paraId="00000015">
            <w:pPr>
              <w:jc w:val="both"/>
              <w:rPr>
                <w:i w:val="1"/>
                <w:color w:val="548dd4"/>
                <w:sz w:val="20"/>
                <w:szCs w:val="20"/>
              </w:rPr>
            </w:pPr>
            <w:r w:rsidDel="00000000" w:rsidR="00000000" w:rsidRPr="00000000">
              <w:rPr>
                <w:rtl w:val="0"/>
              </w:rPr>
            </w:r>
          </w:p>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Integrar métodos de pago (incluyendo JUNAEB) para facilitar las transacciones.</w:t>
            </w:r>
          </w:p>
          <w:p w:rsidR="00000000" w:rsidDel="00000000" w:rsidP="00000000" w:rsidRDefault="00000000" w:rsidRPr="00000000" w14:paraId="00000017">
            <w:pPr>
              <w:jc w:val="both"/>
              <w:rPr>
                <w:i w:val="1"/>
                <w:color w:val="548dd4"/>
                <w:sz w:val="20"/>
                <w:szCs w:val="20"/>
              </w:rPr>
            </w:pPr>
            <w:r w:rsidDel="00000000" w:rsidR="00000000" w:rsidRPr="00000000">
              <w:rPr>
                <w:rtl w:val="0"/>
              </w:rPr>
            </w:r>
          </w:p>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Garantizar la seguridad de los datos de los usuarios mediante buenas prácticas de codificación.</w:t>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tl w:val="0"/>
              </w:rPr>
              <w:t xml:space="preserve">Se utiliza la metodología ágil Scrum, trabajando en sprints de 2 semanas, con roles definidos:</w:t>
            </w:r>
          </w:p>
          <w:p w:rsidR="00000000" w:rsidDel="00000000" w:rsidP="00000000" w:rsidRDefault="00000000" w:rsidRPr="00000000" w14:paraId="0000001B">
            <w:pPr>
              <w:jc w:val="both"/>
              <w:rPr>
                <w:i w:val="1"/>
                <w:color w:val="548dd4"/>
                <w:sz w:val="20"/>
                <w:szCs w:val="20"/>
              </w:rPr>
            </w:pPr>
            <w:r w:rsidDel="00000000" w:rsidR="00000000" w:rsidRPr="00000000">
              <w:rPr>
                <w:rtl w:val="0"/>
              </w:rPr>
            </w:r>
          </w:p>
          <w:p w:rsidR="00000000" w:rsidDel="00000000" w:rsidP="00000000" w:rsidRDefault="00000000" w:rsidRPr="00000000" w14:paraId="0000001C">
            <w:pPr>
              <w:jc w:val="both"/>
              <w:rPr>
                <w:i w:val="1"/>
                <w:color w:val="548dd4"/>
                <w:sz w:val="20"/>
                <w:szCs w:val="20"/>
              </w:rPr>
            </w:pPr>
            <w:r w:rsidDel="00000000" w:rsidR="00000000" w:rsidRPr="00000000">
              <w:rPr>
                <w:i w:val="1"/>
                <w:color w:val="548dd4"/>
                <w:sz w:val="20"/>
                <w:szCs w:val="20"/>
                <w:rtl w:val="0"/>
              </w:rPr>
              <w:t xml:space="preserve">Product Owner: Sebastián Michell</w:t>
            </w:r>
          </w:p>
          <w:p w:rsidR="00000000" w:rsidDel="00000000" w:rsidP="00000000" w:rsidRDefault="00000000" w:rsidRPr="00000000" w14:paraId="0000001D">
            <w:pPr>
              <w:jc w:val="both"/>
              <w:rPr>
                <w:i w:val="1"/>
                <w:color w:val="548dd4"/>
                <w:sz w:val="20"/>
                <w:szCs w:val="20"/>
              </w:rPr>
            </w:pPr>
            <w:r w:rsidDel="00000000" w:rsidR="00000000" w:rsidRPr="00000000">
              <w:rPr>
                <w:rtl w:val="0"/>
              </w:rPr>
            </w:r>
          </w:p>
          <w:p w:rsidR="00000000" w:rsidDel="00000000" w:rsidP="00000000" w:rsidRDefault="00000000" w:rsidRPr="00000000" w14:paraId="0000001E">
            <w:pPr>
              <w:jc w:val="both"/>
              <w:rPr>
                <w:i w:val="1"/>
                <w:color w:val="548dd4"/>
                <w:sz w:val="20"/>
                <w:szCs w:val="20"/>
              </w:rPr>
            </w:pPr>
            <w:r w:rsidDel="00000000" w:rsidR="00000000" w:rsidRPr="00000000">
              <w:rPr>
                <w:i w:val="1"/>
                <w:color w:val="548dd4"/>
                <w:sz w:val="20"/>
                <w:szCs w:val="20"/>
                <w:rtl w:val="0"/>
              </w:rPr>
              <w:t xml:space="preserve">Scrum Master: Víctor Muñoz</w:t>
            </w:r>
          </w:p>
          <w:p w:rsidR="00000000" w:rsidDel="00000000" w:rsidP="00000000" w:rsidRDefault="00000000" w:rsidRPr="00000000" w14:paraId="0000001F">
            <w:pPr>
              <w:jc w:val="both"/>
              <w:rPr>
                <w:i w:val="1"/>
                <w:color w:val="548dd4"/>
                <w:sz w:val="20"/>
                <w:szCs w:val="20"/>
              </w:rPr>
            </w:pPr>
            <w:r w:rsidDel="00000000" w:rsidR="00000000" w:rsidRPr="00000000">
              <w:rPr>
                <w:rtl w:val="0"/>
              </w:rPr>
            </w:r>
          </w:p>
          <w:p w:rsidR="00000000" w:rsidDel="00000000" w:rsidP="00000000" w:rsidRDefault="00000000" w:rsidRPr="00000000" w14:paraId="00000020">
            <w:pPr>
              <w:jc w:val="both"/>
              <w:rPr>
                <w:i w:val="1"/>
                <w:color w:val="548dd4"/>
                <w:sz w:val="20"/>
                <w:szCs w:val="20"/>
              </w:rPr>
            </w:pPr>
            <w:r w:rsidDel="00000000" w:rsidR="00000000" w:rsidRPr="00000000">
              <w:rPr>
                <w:i w:val="1"/>
                <w:color w:val="548dd4"/>
                <w:sz w:val="20"/>
                <w:szCs w:val="20"/>
                <w:rtl w:val="0"/>
              </w:rPr>
              <w:t xml:space="preserve">Developer (Frontend/UI): Cristhofer Rossel</w:t>
            </w:r>
          </w:p>
        </w:tc>
      </w:tr>
      <w:tr>
        <w:trPr>
          <w:cantSplit w:val="0"/>
          <w:trHeight w:val="2377"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2">
            <w:pPr>
              <w:jc w:val="both"/>
              <w:rPr>
                <w:i w:val="1"/>
                <w:color w:val="548dd4"/>
                <w:sz w:val="20"/>
                <w:szCs w:val="20"/>
              </w:rPr>
            </w:pPr>
            <w:r w:rsidDel="00000000" w:rsidR="00000000" w:rsidRPr="00000000">
              <w:rPr>
                <w:i w:val="1"/>
                <w:color w:val="548dd4"/>
                <w:sz w:val="20"/>
                <w:szCs w:val="20"/>
                <w:rtl w:val="0"/>
              </w:rPr>
              <w:t xml:space="preserve">Documento de épicas e historias de usuario.</w:t>
            </w:r>
          </w:p>
          <w:p w:rsidR="00000000" w:rsidDel="00000000" w:rsidP="00000000" w:rsidRDefault="00000000" w:rsidRPr="00000000" w14:paraId="00000023">
            <w:pPr>
              <w:jc w:val="both"/>
              <w:rPr>
                <w:i w:val="1"/>
                <w:color w:val="548dd4"/>
                <w:sz w:val="20"/>
                <w:szCs w:val="20"/>
              </w:rPr>
            </w:pPr>
            <w:r w:rsidDel="00000000" w:rsidR="00000000" w:rsidRPr="00000000">
              <w:rPr>
                <w:rtl w:val="0"/>
              </w:rPr>
            </w:r>
          </w:p>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Priorización MoSCoW aplicada a todas las funcionalidades.</w:t>
            </w:r>
          </w:p>
          <w:p w:rsidR="00000000" w:rsidDel="00000000" w:rsidP="00000000" w:rsidRDefault="00000000" w:rsidRPr="00000000" w14:paraId="00000025">
            <w:pPr>
              <w:jc w:val="both"/>
              <w:rPr>
                <w:i w:val="1"/>
                <w:color w:val="548dd4"/>
                <w:sz w:val="20"/>
                <w:szCs w:val="20"/>
              </w:rPr>
            </w:pPr>
            <w:r w:rsidDel="00000000" w:rsidR="00000000" w:rsidRPr="00000000">
              <w:rPr>
                <w:rtl w:val="0"/>
              </w:rPr>
            </w:r>
          </w:p>
          <w:p w:rsidR="00000000" w:rsidDel="00000000" w:rsidP="00000000" w:rsidRDefault="00000000" w:rsidRPr="00000000" w14:paraId="00000026">
            <w:pPr>
              <w:jc w:val="both"/>
              <w:rPr>
                <w:i w:val="1"/>
                <w:color w:val="548dd4"/>
                <w:sz w:val="20"/>
                <w:szCs w:val="20"/>
              </w:rPr>
            </w:pPr>
            <w:r w:rsidDel="00000000" w:rsidR="00000000" w:rsidRPr="00000000">
              <w:rPr>
                <w:i w:val="1"/>
                <w:color w:val="548dd4"/>
                <w:sz w:val="20"/>
                <w:szCs w:val="20"/>
                <w:rtl w:val="0"/>
              </w:rPr>
              <w:t xml:space="preserve">Planning Poker con estimación de esfuerzo.</w:t>
            </w:r>
          </w:p>
          <w:p w:rsidR="00000000" w:rsidDel="00000000" w:rsidP="00000000" w:rsidRDefault="00000000" w:rsidRPr="00000000" w14:paraId="00000027">
            <w:pPr>
              <w:jc w:val="both"/>
              <w:rPr>
                <w:i w:val="1"/>
                <w:color w:val="548dd4"/>
                <w:sz w:val="20"/>
                <w:szCs w:val="20"/>
              </w:rPr>
            </w:pPr>
            <w:r w:rsidDel="00000000" w:rsidR="00000000" w:rsidRPr="00000000">
              <w:rPr>
                <w:rtl w:val="0"/>
              </w:rPr>
            </w:r>
          </w:p>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Cronograma de sprints ajustado a feriados nacionales.</w:t>
            </w:r>
          </w:p>
        </w:tc>
      </w:tr>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0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410"/>
        <w:gridCol w:w="1305"/>
        <w:gridCol w:w="1305"/>
        <w:gridCol w:w="1260"/>
        <w:gridCol w:w="1470"/>
        <w:gridCol w:w="855"/>
        <w:gridCol w:w="855"/>
        <w:tblGridChange w:id="0">
          <w:tblGrid>
            <w:gridCol w:w="1590"/>
            <w:gridCol w:w="1410"/>
            <w:gridCol w:w="1305"/>
            <w:gridCol w:w="1305"/>
            <w:gridCol w:w="1260"/>
            <w:gridCol w:w="1470"/>
            <w:gridCol w:w="855"/>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2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jc w:val="both"/>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jc w:val="both"/>
              <w:rPr>
                <w:i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jc w:val="both"/>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jc w:val="both"/>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jc w:val="both"/>
              <w:rPr>
                <w:i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jc w:val="both"/>
              <w:rPr>
                <w:i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jc w:val="both"/>
              <w:rPr>
                <w:i w:val="1"/>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jc w:val="both"/>
              <w:rPr>
                <w:i w:val="1"/>
                <w:sz w:val="20"/>
                <w:szCs w:val="20"/>
              </w:rPr>
            </w:pPr>
            <w:r w:rsidDel="00000000" w:rsidR="00000000" w:rsidRPr="00000000">
              <w:rPr>
                <w:rtl w:val="0"/>
              </w:rPr>
            </w:r>
          </w:p>
        </w:tc>
      </w:tr>
      <w:tr>
        <w:trPr>
          <w:cantSplit w:val="0"/>
          <w:trHeight w:val="24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Diseño de interfaces</w:t>
            </w:r>
          </w:p>
        </w:tc>
        <w:tc>
          <w:tcPr>
            <w:tcMar>
              <w:top w:w="100.0" w:type="dxa"/>
              <w:left w:w="100.0" w:type="dxa"/>
              <w:bottom w:w="100.0" w:type="dxa"/>
              <w:right w:w="100.0" w:type="dxa"/>
            </w:tcMar>
            <w:vAlign w:val="top"/>
          </w:tcPr>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Mockups y flujo de compra</w:t>
            </w:r>
          </w:p>
        </w:tc>
        <w:tc>
          <w:tcPr>
            <w:tcMar>
              <w:top w:w="100.0" w:type="dxa"/>
              <w:left w:w="100.0" w:type="dxa"/>
              <w:bottom w:w="100.0" w:type="dxa"/>
              <w:right w:w="100.0" w:type="dxa"/>
            </w:tcMar>
            <w:vAlign w:val="top"/>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Figma, Miro</w:t>
            </w:r>
          </w:p>
        </w:tc>
        <w:tc>
          <w:tcPr>
            <w:tcMar>
              <w:top w:w="100.0" w:type="dxa"/>
              <w:left w:w="100.0" w:type="dxa"/>
              <w:bottom w:w="100.0" w:type="dxa"/>
              <w:right w:w="100.0" w:type="dxa"/>
            </w:tcMar>
            <w:vAlign w:val="top"/>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Cristhofer Rossel</w:t>
            </w:r>
          </w:p>
        </w:tc>
        <w:tc>
          <w:tcPr>
            <w:tcMar>
              <w:top w:w="100.0" w:type="dxa"/>
              <w:left w:w="100.0" w:type="dxa"/>
              <w:bottom w:w="100.0" w:type="dxa"/>
              <w:right w:w="100.0" w:type="dxa"/>
            </w:tcMar>
            <w:vAlign w:val="top"/>
          </w:tcPr>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Se ajustó según feedback docente</w:t>
            </w:r>
          </w:p>
        </w:tc>
        <w:tc>
          <w:tcPr>
            <w:tcMar>
              <w:top w:w="100.0" w:type="dxa"/>
              <w:left w:w="100.0" w:type="dxa"/>
              <w:bottom w:w="100.0" w:type="dxa"/>
              <w:right w:w="100.0" w:type="dxa"/>
            </w:tcMar>
            <w:vAlign w:val="top"/>
          </w:tcPr>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Completado</w:t>
            </w:r>
          </w:p>
        </w:tc>
        <w:tc>
          <w:tcPr>
            <w:tcMar>
              <w:top w:w="100.0" w:type="dxa"/>
              <w:left w:w="100.0" w:type="dxa"/>
              <w:bottom w:w="100.0" w:type="dxa"/>
              <w:right w:w="100.0" w:type="dxa"/>
            </w:tcMar>
            <w:vAlign w:val="top"/>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Ajustes menores de diseño</w:t>
            </w:r>
          </w:p>
        </w:tc>
      </w:tr>
      <w:tr>
        <w:trPr>
          <w:cantSplit w:val="0"/>
          <w:trHeight w:val="24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Desarrollo de autenticación</w:t>
            </w:r>
          </w:p>
        </w:tc>
        <w:tc>
          <w:tcPr>
            <w:tcMar>
              <w:top w:w="100.0" w:type="dxa"/>
              <w:left w:w="100.0" w:type="dxa"/>
              <w:bottom w:w="100.0" w:type="dxa"/>
              <w:right w:w="100.0" w:type="dxa"/>
            </w:tcMar>
            <w:vAlign w:val="top"/>
          </w:tcPr>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Registro, login y hash de contraseñas</w:t>
            </w:r>
          </w:p>
        </w:tc>
        <w:tc>
          <w:tcPr>
            <w:tcMar>
              <w:top w:w="100.0" w:type="dxa"/>
              <w:left w:w="100.0" w:type="dxa"/>
              <w:bottom w:w="100.0" w:type="dxa"/>
              <w:right w:w="100.0" w:type="dxa"/>
            </w:tcMar>
            <w:vAlign w:val="top"/>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IDE, base de datos</w:t>
            </w:r>
          </w:p>
        </w:tc>
        <w:tc>
          <w:tcPr>
            <w:tcMar>
              <w:top w:w="100.0" w:type="dxa"/>
              <w:left w:w="100.0" w:type="dxa"/>
              <w:bottom w:w="100.0" w:type="dxa"/>
              <w:right w:w="100.0" w:type="dxa"/>
            </w:tcMar>
            <w:vAlign w:val="top"/>
          </w:tcPr>
          <w:p w:rsidR="00000000" w:rsidDel="00000000" w:rsidP="00000000" w:rsidRDefault="00000000" w:rsidRPr="00000000" w14:paraId="0000004F">
            <w:pPr>
              <w:jc w:val="both"/>
              <w:rPr>
                <w:i w:val="1"/>
                <w:sz w:val="20"/>
                <w:szCs w:val="20"/>
              </w:rPr>
            </w:pPr>
            <w:r w:rsidDel="00000000" w:rsidR="00000000" w:rsidRPr="00000000">
              <w:rPr>
                <w:sz w:val="20"/>
                <w:szCs w:val="20"/>
                <w:rtl w:val="0"/>
              </w:rPr>
              <w:t xml:space="preserve">2 semanas</w:t>
            </w: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Sebastian Michell</w:t>
            </w:r>
          </w:p>
        </w:tc>
        <w:tc>
          <w:tcPr>
            <w:tcMar>
              <w:top w:w="100.0" w:type="dxa"/>
              <w:left w:w="100.0" w:type="dxa"/>
              <w:bottom w:w="100.0" w:type="dxa"/>
              <w:right w:w="100.0" w:type="dxa"/>
            </w:tcMar>
            <w:vAlign w:val="top"/>
          </w:tcPr>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Requiere pruebas de seguridad</w:t>
            </w:r>
          </w:p>
        </w:tc>
        <w:tc>
          <w:tcPr>
            <w:tcMar>
              <w:top w:w="100.0" w:type="dxa"/>
              <w:left w:w="100.0" w:type="dxa"/>
              <w:bottom w:w="100.0" w:type="dxa"/>
              <w:right w:w="100.0" w:type="dxa"/>
            </w:tcMar>
            <w:vAlign w:val="top"/>
          </w:tcPr>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En curso</w:t>
            </w:r>
          </w:p>
        </w:tc>
        <w:tc>
          <w:tcPr>
            <w:tcMar>
              <w:top w:w="100.0" w:type="dxa"/>
              <w:left w:w="100.0" w:type="dxa"/>
              <w:bottom w:w="100.0" w:type="dxa"/>
              <w:right w:w="100.0" w:type="dxa"/>
            </w:tcMar>
            <w:vAlign w:val="top"/>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Sin ajustes</w:t>
            </w:r>
          </w:p>
        </w:tc>
      </w:tr>
      <w:tr>
        <w:trPr>
          <w:cantSplit w:val="0"/>
          <w:trHeight w:val="24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Gestión de pedidos</w:t>
            </w:r>
          </w:p>
        </w:tc>
        <w:tc>
          <w:tcPr>
            <w:tcMar>
              <w:top w:w="100.0" w:type="dxa"/>
              <w:left w:w="100.0" w:type="dxa"/>
              <w:bottom w:w="100.0" w:type="dxa"/>
              <w:right w:w="100.0" w:type="dxa"/>
            </w:tcMar>
            <w:vAlign w:val="top"/>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Carrito de compras y hora de retiro</w:t>
            </w:r>
          </w:p>
        </w:tc>
        <w:tc>
          <w:tcPr>
            <w:tcMar>
              <w:top w:w="100.0" w:type="dxa"/>
              <w:left w:w="100.0" w:type="dxa"/>
              <w:bottom w:w="100.0" w:type="dxa"/>
              <w:right w:w="100.0" w:type="dxa"/>
            </w:tcMar>
            <w:vAlign w:val="top"/>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Backend + frontend</w:t>
            </w:r>
          </w:p>
        </w:tc>
        <w:tc>
          <w:tcPr>
            <w:tcMar>
              <w:top w:w="100.0" w:type="dxa"/>
              <w:left w:w="100.0" w:type="dxa"/>
              <w:bottom w:w="100.0" w:type="dxa"/>
              <w:right w:w="100.0" w:type="dxa"/>
            </w:tcMar>
            <w:vAlign w:val="top"/>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Todo el equipo</w:t>
            </w:r>
          </w:p>
        </w:tc>
        <w:tc>
          <w:tcPr>
            <w:tcMar>
              <w:top w:w="100.0" w:type="dxa"/>
              <w:left w:w="100.0" w:type="dxa"/>
              <w:bottom w:w="100.0" w:type="dxa"/>
              <w:right w:w="100.0" w:type="dxa"/>
            </w:tcMar>
            <w:vAlign w:val="top"/>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Depende de autenticación</w:t>
            </w:r>
          </w:p>
        </w:tc>
        <w:tc>
          <w:tcPr>
            <w:tcMar>
              <w:top w:w="100.0" w:type="dxa"/>
              <w:left w:w="100.0" w:type="dxa"/>
              <w:bottom w:w="100.0" w:type="dxa"/>
              <w:right w:w="100.0" w:type="dxa"/>
            </w:tcMar>
            <w:vAlign w:val="top"/>
          </w:tcPr>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No iniciado</w:t>
            </w:r>
          </w:p>
        </w:tc>
        <w:tc>
          <w:tcPr>
            <w:tcMar>
              <w:top w:w="100.0" w:type="dxa"/>
              <w:left w:w="100.0" w:type="dxa"/>
              <w:bottom w:w="100.0" w:type="dxa"/>
              <w:right w:w="100.0" w:type="dxa"/>
            </w:tcMar>
            <w:vAlign w:val="top"/>
          </w:tcPr>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Ajustado a Sprint 2</w:t>
            </w:r>
          </w:p>
        </w:tc>
      </w:tr>
      <w:tr>
        <w:trPr>
          <w:cantSplit w:val="0"/>
          <w:trHeight w:val="24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Integración de pagos</w:t>
            </w:r>
          </w:p>
        </w:tc>
        <w:tc>
          <w:tcPr>
            <w:tcMar>
              <w:top w:w="100.0" w:type="dxa"/>
              <w:left w:w="100.0" w:type="dxa"/>
              <w:bottom w:w="100.0" w:type="dxa"/>
              <w:right w:w="100.0" w:type="dxa"/>
            </w:tcMar>
            <w:vAlign w:val="top"/>
          </w:tcPr>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Pago JUNAEB</w:t>
            </w:r>
          </w:p>
        </w:tc>
        <w:tc>
          <w:tcPr>
            <w:tcMar>
              <w:top w:w="100.0" w:type="dxa"/>
              <w:left w:w="100.0" w:type="dxa"/>
              <w:bottom w:w="100.0" w:type="dxa"/>
              <w:right w:w="100.0" w:type="dxa"/>
            </w:tcMar>
            <w:vAlign w:val="top"/>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API simulada</w:t>
            </w:r>
          </w:p>
        </w:tc>
        <w:tc>
          <w:tcPr>
            <w:tcMar>
              <w:top w:w="100.0" w:type="dxa"/>
              <w:left w:w="100.0" w:type="dxa"/>
              <w:bottom w:w="100.0" w:type="dxa"/>
              <w:right w:w="100.0" w:type="dxa"/>
            </w:tcMar>
            <w:vAlign w:val="top"/>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Sebastián Michell</w:t>
            </w:r>
          </w:p>
        </w:tc>
        <w:tc>
          <w:tcPr>
            <w:tcMar>
              <w:top w:w="100.0" w:type="dxa"/>
              <w:left w:w="100.0" w:type="dxa"/>
              <w:bottom w:w="100.0" w:type="dxa"/>
              <w:right w:w="100.0" w:type="dxa"/>
            </w:tcMar>
            <w:vAlign w:val="top"/>
          </w:tcPr>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Complejidad alta por dependencias externas</w:t>
            </w:r>
          </w:p>
        </w:tc>
        <w:tc>
          <w:tcPr>
            <w:tcMar>
              <w:top w:w="100.0" w:type="dxa"/>
              <w:left w:w="100.0" w:type="dxa"/>
              <w:bottom w:w="100.0" w:type="dxa"/>
              <w:right w:w="100.0" w:type="dxa"/>
            </w:tcMar>
            <w:vAlign w:val="top"/>
          </w:tcPr>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No iniciado</w:t>
            </w:r>
          </w:p>
        </w:tc>
        <w:tc>
          <w:tcPr>
            <w:tcMar>
              <w:top w:w="100.0" w:type="dxa"/>
              <w:left w:w="100.0" w:type="dxa"/>
              <w:bottom w:w="100.0" w:type="dxa"/>
              <w:right w:w="100.0" w:type="dxa"/>
            </w:tcMar>
            <w:vAlign w:val="top"/>
          </w:tcPr>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Ajustado a Sprint 3</w:t>
            </w:r>
          </w:p>
        </w:tc>
      </w:tr>
      <w:tr>
        <w:trPr>
          <w:cantSplit w:val="0"/>
          <w:trHeight w:val="24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QA y validaciones</w:t>
            </w:r>
          </w:p>
        </w:tc>
        <w:tc>
          <w:tcPr>
            <w:tcMar>
              <w:top w:w="100.0" w:type="dxa"/>
              <w:left w:w="100.0" w:type="dxa"/>
              <w:bottom w:w="100.0" w:type="dxa"/>
              <w:right w:w="100.0" w:type="dxa"/>
            </w:tcMar>
            <w:vAlign w:val="top"/>
          </w:tcPr>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Pruebas internas y con usuarios</w:t>
            </w:r>
          </w:p>
        </w:tc>
        <w:tc>
          <w:tcPr>
            <w:tcMar>
              <w:top w:w="100.0" w:type="dxa"/>
              <w:left w:w="100.0" w:type="dxa"/>
              <w:bottom w:w="100.0" w:type="dxa"/>
              <w:right w:w="100.0" w:type="dxa"/>
            </w:tcMar>
            <w:vAlign w:val="top"/>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Dispositivos móviles</w:t>
            </w:r>
          </w:p>
        </w:tc>
        <w:tc>
          <w:tcPr>
            <w:tcMar>
              <w:top w:w="100.0" w:type="dxa"/>
              <w:left w:w="100.0" w:type="dxa"/>
              <w:bottom w:w="100.0" w:type="dxa"/>
              <w:right w:w="100.0" w:type="dxa"/>
            </w:tcMar>
            <w:vAlign w:val="top"/>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Transversal</w:t>
            </w:r>
          </w:p>
        </w:tc>
        <w:tc>
          <w:tcPr>
            <w:tcMar>
              <w:top w:w="100.0" w:type="dxa"/>
              <w:left w:w="100.0" w:type="dxa"/>
              <w:bottom w:w="100.0" w:type="dxa"/>
              <w:right w:w="100.0" w:type="dxa"/>
            </w:tcMar>
            <w:vAlign w:val="top"/>
          </w:tcPr>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Todo el equipo</w:t>
            </w:r>
          </w:p>
        </w:tc>
        <w:tc>
          <w:tcPr>
            <w:tcMar>
              <w:top w:w="100.0" w:type="dxa"/>
              <w:left w:w="100.0" w:type="dxa"/>
              <w:bottom w:w="100.0" w:type="dxa"/>
              <w:right w:w="100.0" w:type="dxa"/>
            </w:tcMar>
            <w:vAlign w:val="top"/>
          </w:tcPr>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Puede requerir tiempo adicional</w:t>
            </w:r>
          </w:p>
        </w:tc>
        <w:tc>
          <w:tcPr>
            <w:tcMar>
              <w:top w:w="100.0" w:type="dxa"/>
              <w:left w:w="100.0" w:type="dxa"/>
              <w:bottom w:w="100.0" w:type="dxa"/>
              <w:right w:w="100.0" w:type="dxa"/>
            </w:tcMar>
            <w:vAlign w:val="top"/>
          </w:tcPr>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En curso</w:t>
            </w:r>
          </w:p>
        </w:tc>
        <w:tc>
          <w:tcPr>
            <w:tcMar>
              <w:top w:w="100.0" w:type="dxa"/>
              <w:left w:w="100.0" w:type="dxa"/>
              <w:bottom w:w="100.0" w:type="dxa"/>
              <w:right w:w="100.0" w:type="dxa"/>
            </w:tcMar>
            <w:vAlign w:val="top"/>
          </w:tcPr>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Ajuste en duración (reducción QA)</w:t>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72">
            <w:pPr>
              <w:rPr>
                <w:color w:val="1f3864"/>
              </w:rPr>
            </w:pPr>
            <w:r w:rsidDel="00000000" w:rsidR="00000000" w:rsidRPr="00000000">
              <w:rPr>
                <w:color w:val="1f3864"/>
                <w:rtl w:val="0"/>
              </w:rPr>
              <w:t xml:space="preserve">Factores que han facilitado el desarrollo:</w:t>
            </w:r>
          </w:p>
          <w:p w:rsidR="00000000" w:rsidDel="00000000" w:rsidP="00000000" w:rsidRDefault="00000000" w:rsidRPr="00000000" w14:paraId="00000073">
            <w:pPr>
              <w:rPr>
                <w:color w:val="1f3864"/>
              </w:rPr>
            </w:pPr>
            <w:r w:rsidDel="00000000" w:rsidR="00000000" w:rsidRPr="00000000">
              <w:rPr>
                <w:color w:val="1f3864"/>
                <w:rtl w:val="0"/>
              </w:rPr>
              <w:t xml:space="preserve">La organización del trabajo en sprints definidos con roles claros (Product Owner, Scrum Master y Developer).</w:t>
            </w:r>
          </w:p>
          <w:p w:rsidR="00000000" w:rsidDel="00000000" w:rsidP="00000000" w:rsidRDefault="00000000" w:rsidRPr="00000000" w14:paraId="00000074">
            <w:pPr>
              <w:rPr>
                <w:color w:val="1f3864"/>
              </w:rPr>
            </w:pPr>
            <w:r w:rsidDel="00000000" w:rsidR="00000000" w:rsidRPr="00000000">
              <w:rPr>
                <w:color w:val="1f3864"/>
                <w:rtl w:val="0"/>
              </w:rPr>
              <w:t xml:space="preserve">El uso de Scrum y herramientas de priorización (MoSCoW, Planning Poker) que nos han permitido centrarnos en las funcionalidades críticas.</w:t>
            </w:r>
          </w:p>
          <w:p w:rsidR="00000000" w:rsidDel="00000000" w:rsidP="00000000" w:rsidRDefault="00000000" w:rsidRPr="00000000" w14:paraId="00000075">
            <w:pPr>
              <w:rPr>
                <w:color w:val="1f3864"/>
              </w:rPr>
            </w:pPr>
            <w:r w:rsidDel="00000000" w:rsidR="00000000" w:rsidRPr="00000000">
              <w:rPr>
                <w:color w:val="1f3864"/>
                <w:rtl w:val="0"/>
              </w:rPr>
              <w:t xml:space="preserve">La buena comunicación interna del equipo, lo que facilita la coordinación de tareas pese a las limitaciones de tiempo.</w:t>
            </w:r>
          </w:p>
          <w:p w:rsidR="00000000" w:rsidDel="00000000" w:rsidP="00000000" w:rsidRDefault="00000000" w:rsidRPr="00000000" w14:paraId="00000076">
            <w:pPr>
              <w:rPr>
                <w:color w:val="1f3864"/>
              </w:rPr>
            </w:pPr>
            <w:r w:rsidDel="00000000" w:rsidR="00000000" w:rsidRPr="00000000">
              <w:rPr>
                <w:rtl w:val="0"/>
              </w:rPr>
            </w:r>
          </w:p>
          <w:p w:rsidR="00000000" w:rsidDel="00000000" w:rsidP="00000000" w:rsidRDefault="00000000" w:rsidRPr="00000000" w14:paraId="00000077">
            <w:pPr>
              <w:rPr>
                <w:color w:val="1f3864"/>
              </w:rPr>
            </w:pPr>
            <w:r w:rsidDel="00000000" w:rsidR="00000000" w:rsidRPr="00000000">
              <w:rPr>
                <w:color w:val="1f3864"/>
                <w:rtl w:val="0"/>
              </w:rPr>
              <w:t xml:space="preserve">Factores que han dificultado el desarrollo:</w:t>
            </w:r>
          </w:p>
          <w:p w:rsidR="00000000" w:rsidDel="00000000" w:rsidP="00000000" w:rsidRDefault="00000000" w:rsidRPr="00000000" w14:paraId="00000078">
            <w:pPr>
              <w:rPr>
                <w:color w:val="1f3864"/>
              </w:rPr>
            </w:pPr>
            <w:r w:rsidDel="00000000" w:rsidR="00000000" w:rsidRPr="00000000">
              <w:rPr>
                <w:color w:val="1f3864"/>
                <w:rtl w:val="0"/>
              </w:rPr>
              <w:t xml:space="preserve">El principal factor ha sido el tiempo disponible, ya que los integrantes del equipo se encuentran realizando su práctica profesional. Esto ha generado dificultades para cumplir con las fechas estimadas en algunos sprints.</w:t>
            </w:r>
          </w:p>
          <w:p w:rsidR="00000000" w:rsidDel="00000000" w:rsidP="00000000" w:rsidRDefault="00000000" w:rsidRPr="00000000" w14:paraId="00000079">
            <w:pPr>
              <w:rPr>
                <w:color w:val="1f3864"/>
              </w:rPr>
            </w:pPr>
            <w:r w:rsidDel="00000000" w:rsidR="00000000" w:rsidRPr="00000000">
              <w:rPr>
                <w:color w:val="1f3864"/>
                <w:rtl w:val="0"/>
              </w:rPr>
              <w:t xml:space="preserve">La carga laboral ha retrasado parcialmente la ejecución de ciertas tareas planificadas.</w:t>
            </w:r>
          </w:p>
          <w:p w:rsidR="00000000" w:rsidDel="00000000" w:rsidP="00000000" w:rsidRDefault="00000000" w:rsidRPr="00000000" w14:paraId="0000007A">
            <w:pPr>
              <w:rPr>
                <w:color w:val="1f3864"/>
              </w:rPr>
            </w:pPr>
            <w:r w:rsidDel="00000000" w:rsidR="00000000" w:rsidRPr="00000000">
              <w:rPr>
                <w:rtl w:val="0"/>
              </w:rPr>
            </w:r>
          </w:p>
          <w:p w:rsidR="00000000" w:rsidDel="00000000" w:rsidP="00000000" w:rsidRDefault="00000000" w:rsidRPr="00000000" w14:paraId="0000007B">
            <w:pPr>
              <w:rPr>
                <w:color w:val="1f3864"/>
              </w:rPr>
            </w:pPr>
            <w:r w:rsidDel="00000000" w:rsidR="00000000" w:rsidRPr="00000000">
              <w:rPr>
                <w:color w:val="1f3864"/>
                <w:rtl w:val="0"/>
              </w:rPr>
              <w:t xml:space="preserve">Acciones tomadas para solucionarlo:</w:t>
            </w:r>
          </w:p>
          <w:p w:rsidR="00000000" w:rsidDel="00000000" w:rsidP="00000000" w:rsidRDefault="00000000" w:rsidRPr="00000000" w14:paraId="0000007C">
            <w:pPr>
              <w:rPr>
                <w:color w:val="1f3864"/>
              </w:rPr>
            </w:pPr>
            <w:r w:rsidDel="00000000" w:rsidR="00000000" w:rsidRPr="00000000">
              <w:rPr>
                <w:color w:val="1f3864"/>
                <w:rtl w:val="0"/>
              </w:rPr>
              <w:t xml:space="preserve">Se acordó flexibilizar el trabajo en fines de semana para compensar los días en que no se logra avanzar por la práctica.</w:t>
            </w:r>
          </w:p>
          <w:p w:rsidR="00000000" w:rsidDel="00000000" w:rsidP="00000000" w:rsidRDefault="00000000" w:rsidRPr="00000000" w14:paraId="0000007D">
            <w:pPr>
              <w:rPr>
                <w:color w:val="1f3864"/>
              </w:rPr>
            </w:pPr>
            <w:r w:rsidDel="00000000" w:rsidR="00000000" w:rsidRPr="00000000">
              <w:rPr>
                <w:color w:val="1f3864"/>
                <w:rtl w:val="0"/>
              </w:rPr>
              <w:t xml:space="preserve">Se ajustaron los tiempos de QA (pruebas internas) para que fueran más acotados y no afectaran la entrega de funcionalidades principales.</w:t>
            </w:r>
          </w:p>
          <w:p w:rsidR="00000000" w:rsidDel="00000000" w:rsidP="00000000" w:rsidRDefault="00000000" w:rsidRPr="00000000" w14:paraId="0000007E">
            <w:pPr>
              <w:rPr>
                <w:color w:val="1f3864"/>
              </w:rPr>
            </w:pPr>
            <w:r w:rsidDel="00000000" w:rsidR="00000000" w:rsidRPr="00000000">
              <w:rPr>
                <w:color w:val="1f3864"/>
                <w:rtl w:val="0"/>
              </w:rPr>
              <w:t xml:space="preserve">Se reorganizó el cronograma de actividades priorizando las funcionalidades críticas (Must Have), dejando las de menor impacto (Should/ Could Have) para fases posteriores.</w:t>
            </w:r>
          </w:p>
          <w:p w:rsidR="00000000" w:rsidDel="00000000" w:rsidP="00000000" w:rsidRDefault="00000000" w:rsidRPr="00000000" w14:paraId="0000007F">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i w:val="1"/>
                <w:sz w:val="20"/>
                <w:szCs w:val="20"/>
                <w:rtl w:val="0"/>
              </w:rPr>
              <w:t xml:space="preserve">S</w:t>
            </w:r>
            <w:r w:rsidDel="00000000" w:rsidR="00000000" w:rsidRPr="00000000">
              <w:rPr>
                <w:sz w:val="20"/>
                <w:szCs w:val="20"/>
                <w:rtl w:val="0"/>
              </w:rPr>
              <w:t xml:space="preserve">e redujo la cantidad de días destinados a QA, pasando de 4–6 días a 2–3 días según el sprint, para recuperar tiempo.</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Justificación:</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Estos ajustes se realizaron para mantener el alcance principal del proyecto sin extender los plazos de entrega, asegurando que las funcionalidades más relevantes para estudiantes y profesores estén disponibles en la primera versión de DuocGo.</w:t>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Algunas historias de usuario correspondientes a los sprints actuales (por ejemplo, la visualización de productos y carrito de compras) presentan un leve atraso respecto al cronograma original.</w:t>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La causa principal es la falta de tiempo por la práctica profesional de los integrantes del equipo.</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Estrategias para avanzar y no afectar el proyecto:</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Reforzar la dedicación en horarios no laborales (fines de semana y noches).</w:t>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Dividir tareas grandes en subtareas más pequeñas para facilitar el progreso continuo.</w:t>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Mantener un control semanal con reuniones cortas (daily adaptadas) para identificar a tiempo posibles bloqueos y reorganizar esfuerzos.</w:t>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tgbQOhQ4/s2VC7CHaZSKUTRwWg==">CgMxLjAyDmguMXR1YXI2ZmF1YjFpOAByITFKMHhZT0FYSWh1X05xNEduNWF4aW9jZUJ3REZXWURPVg==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