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Hackathon homework review blueprint</w:t>
      </w:r>
    </w:p>
    <w:p>
      <w:pPr>
        <w:pStyle w:val="Subtitle"/>
      </w:pPr>
      <w:r>
        <w:t>Spec driven development with Claude Code</w:t>
      </w:r>
    </w:p>
    <w:p>
      <w:r>
        <w:rPr>
          <w:b/>
        </w:rPr>
        <w:t>28 October 2026</w:t>
      </w:r>
      <w:r>
        <w:t xml:space="preserve">  |  Mexico City  |  Planning only</w:t>
      </w:r>
    </w:p>
    <w:p>
      <w:r>
        <w:t>Build a small, open-source homework-review component for a civic education nonprofit that offers free mathematics Olympiad training to high school students. The demo should turn a bounded set of PDFs into traceable draft feedback that a teacher can correct and approve. It must not grade students automatically or claim to verify mathematical proofs.</w:t>
      </w:r>
    </w:p>
    <w:p>
      <w:r>
        <w:rPr>
          <w:b/>
        </w:rPr>
        <w:t>This blueprint and its companion prompt pack authorize planning only.</w:t>
      </w:r>
      <w:r>
        <w:t xml:space="preserve"> Repository edits, implementation, model calls, cloud resources, DNS changes and public deployment require separate approval.</w:t>
      </w:r>
    </w:p>
    <w:p>
      <w:pPr>
        <w:pStyle w:val="Heading2"/>
      </w:pPr>
      <w:r>
        <w:t>Minimum useful demonstration</w:t>
      </w:r>
    </w:p>
    <w:p>
      <w:pPr>
        <w:pStyle w:val="ListBullet"/>
      </w:pPr>
      <w:r>
        <w:t>Process five fixed synthetic inputs: four valid PDFs produce inspectable outcomes; one invalid PDF is rejected safely. A valid but unreadable scan must become needs_review, not confident feedback.</w:t>
      </w:r>
    </w:p>
    <w:p>
      <w:pPr>
        <w:pStyle w:val="ListBullet"/>
      </w:pPr>
      <w:r>
        <w:t>Show page and paragraph evidence, teacher editing and approval, then export only the approved feedback version. No real minors’ data enters the demo, and no student messages are sent automatically.</w:t>
      </w:r>
    </w:p>
    <w:p>
      <w:pPr>
        <w:pStyle w:val="ListBullet"/>
      </w:pPr>
      <w:r>
        <w:t>Run the same versioned JSON contract through one hosted provider and a deterministic fake adapter. A second real provider is stretch work, not a requirement.</w:t>
      </w:r>
    </w:p>
    <w:p>
      <w:pPr>
        <w:pStyle w:val="Heading2"/>
      </w:pPr>
      <w:r>
        <w:t>Scope and assumptions</w:t>
      </w:r>
    </w:p>
    <w:p>
      <w:r>
        <w:t>Assumption to confirm: the large PDF list contains student submissions. Keep an optional folder of teacher-approved reference solutions separate; a student document can never promote itself into a trusted reference. If the PDFs are instead a problem bank, revise the product spec before implementation.</w:t>
      </w:r>
    </w:p>
    <w:p>
      <w:r>
        <w:t>The proposed stack is Python with FastAPI and Pydantic, a minimal HTML review screen, SQLite and one worker. This is a candidate, not an approved architecture. Audit and reuse the existing repository before considering a scaffold. The nonprofit’s whole learning platform, accounts, course management, retrieval system and autonomous tutoring are out of scope.</w:t>
      </w:r>
    </w:p>
    <w:p>
      <w:pPr>
        <w:pStyle w:val="Heading2"/>
      </w:pPr>
      <w:r>
        <w:t>Decisions required before building</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Decision</w:t>
            </w:r>
          </w:p>
        </w:tc>
        <w:tc>
          <w:tcPr>
            <w:tcW w:type="dxa" w:w="8208"/>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Needed answer</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Event rules</w:t>
            </w:r>
          </w:p>
        </w:tc>
        <w:tc>
          <w:tcPr>
            <w:tcW w:type="dxa" w:w="8208"/>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Confirm whether pre-event code is permitted and the actual submission cutoff. The published schedule has building at 13:00 and demos at 17:00 CDMX. [1]</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Repository and team</w:t>
            </w:r>
          </w:p>
        </w:tc>
        <w:tc>
          <w:tcPr>
            <w:tcW w:type="dxa" w:w="8208"/>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Identify the repository, its license and existing work; confirm teammates and assign responsibilities rather than assuming four people.</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Provider and hosting</w:t>
            </w:r>
          </w:p>
        </w:tc>
        <w:tc>
          <w:tcPr>
            <w:tcW w:type="dxa" w:w="8208"/>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Confirm API access, quota and spending limit; confirm the exact .tech domain, ownership, DNS access and DigitalOcean budget or usable credits.</w:t>
            </w:r>
          </w:p>
        </w:tc>
      </w:tr>
    </w:tbl>
    <w:p>
      <w:pPr>
        <w:spacing w:after="0"/>
      </w:pPr>
    </w:p>
    <w:p>
      <w:r>
        <w:br w:type="page"/>
      </w:r>
    </w:p>
    <w:p>
      <w:pPr>
        <w:pStyle w:val="Heading1"/>
      </w:pPr>
      <w:r>
        <w:t>The specification pack and Claude workflow</w:t>
      </w:r>
    </w:p>
    <w:p>
      <w:r>
        <w:t>Use a short specification pack as the shared source of truth. Each requirement has an ID, a test or explicit manual check, and an observable completion condition. The TXT companion contains one copy-paste prompt for each phase, with authorization gates.</w:t>
      </w:r>
    </w:p>
    <w:tbl>
      <w:tblPr>
        <w:tblW w:type="auto" w:w="0"/>
        <w:jc w:val="center"/>
        <w:tblLayout w:type="fixed"/>
        <w:tblLook w:firstColumn="1" w:firstRow="1" w:lastColumn="0" w:lastRow="0" w:noHBand="0" w:noVBand="1" w:val="04A0"/>
      </w:tblPr>
      <w:tblGrid>
        <w:gridCol w:w="2592"/>
        <w:gridCol w:w="7632"/>
      </w:tblGrid>
      <w:tr>
        <w:trPr>
          <w:cantSplit/>
          <w:tblHeader/>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File</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Purpose</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CLAUDE.md</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Stable constraints, pointers to specs, approved commands and current scope. Keep under 200 lines; do not store credentials. [3]</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docs/product.md</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Teacher workflow, PDF roles, minimum demo, non-goals and unresolved assumptions.</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docs/architecture.md</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Boundaries, storage, one-worker queue, extraction fallback and trust model.</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docs/contracts.md</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Versioned schemas, IDs, endpoints, state transitions, errors and limits.</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docs/acceptance.md</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Requirement IDs, fixtures, expected behavior and evidence needed to pass.</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docs/tasks.md</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One small slice per task with dependencies, allowed files and test target.</w:t>
            </w:r>
          </w:p>
        </w:tc>
      </w:tr>
      <w:tr>
        <w:trPr>
          <w:cantSplit/>
        </w:trPr>
        <w:tc>
          <w:tcPr>
            <w:tcW w:type="dxa" w:w="259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docs/adr.md</w:t>
            </w:r>
          </w:p>
        </w:tc>
        <w:tc>
          <w:tcPr>
            <w:tcW w:type="dxa" w:w="763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Short decision records for stack, provider, persistence and exclusions.</w:t>
            </w:r>
          </w:p>
        </w:tc>
      </w:tr>
    </w:tbl>
    <w:p>
      <w:pPr>
        <w:spacing w:after="0"/>
      </w:pPr>
    </w:p>
    <w:p>
      <w:pPr>
        <w:pStyle w:val="Heading2"/>
      </w:pPr>
      <w:r>
        <w:t>Start in Plan mode</w:t>
      </w:r>
    </w:p>
    <w:p>
      <w:r>
        <w:t>Launch Claude Code with claude --permission-mode plan, or press Shift+Tab until the status bar shows Plan mode. It can inspect files and run read-only shell commands; it is not a promise that no commands run. Explicitly prohibit installations, builds, edits, model calls, account changes and deployment during the current planning task. [2, 4]</w:t>
      </w:r>
    </w:p>
    <w:p>
      <w:r>
        <w:t>Read repository instructions and existing specifications first. Inspect manifests and test configuration without executing project scripts. Produce a reuse map and a proposed file list. If the repository or instructions are missing, report that gap rather than creating a new project.</w:t>
      </w:r>
    </w:p>
    <w:p>
      <w:pPr>
        <w:pStyle w:val="Heading2"/>
      </w:pPr>
      <w:r>
        <w:t>Repeat this loop for each approved slice</w:t>
      </w:r>
    </w:p>
    <w:p>
      <w:r>
        <w:t>1. State the requirement and acceptance test.  2. Propose a small diff.  3. Obtain the required write or implementation approval.  4. Add a failing test.  5. Implement only that slice.  6. Run the narrow test, then relevant regression tests.  7. Inspect the diff against the spec and record the evidence. Stop on a contract conflict instead of silently expanding scope.</w:t>
      </w:r>
    </w:p>
    <w:p>
      <w:r>
        <w:t>Separate planning from execution. Documentation approval permits only the named Markdown files. Agree the implementation scope and permitted commands; existing approval can cover several slices. Pause only for new scope or consequential external actions. Live API checks also need approved credentials and a cost cap. Keep Git changes small and reviewable; Claude checkpoints are not a replacement for Git or cloud rollback. [5]</w:t>
      </w:r>
    </w:p>
    <w:p>
      <w:r>
        <w:t>CLAUDE.md guides the assistant but is not a security boundary. Enforce access, budgets and input validation in application code and deployment configuration. Never treat instructions embedded in PDFs as developer instructions.</w:t>
      </w:r>
    </w:p>
    <w:p>
      <w:r>
        <w:br w:type="page"/>
      </w:r>
    </w:p>
    <w:p>
      <w:pPr>
        <w:pStyle w:val="Heading1"/>
      </w:pPr>
      <w:r>
        <w:t>Contracts and the proposed architecture</w:t>
      </w:r>
    </w:p>
    <w:p>
      <w:r>
        <w:t>Keep the domain contract independent of Claude Code, any agent framework and any model SDK. Proposed flow: HTML or CLI client → HTTP service → durable SQLite job → one worker → extraction adapter → model adapter → validated draft → teacher decision → approved export.</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Contract</w:t>
            </w:r>
          </w:p>
        </w:tc>
        <w:tc>
          <w:tcPr>
            <w:tcW w:type="dxa" w:w="83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Minimum fields and rule</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Document</w:t>
            </w:r>
          </w:p>
        </w:tc>
        <w:tc>
          <w:tcPr>
            <w:tcW w:type="dxa" w:w="83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document_id, role, assignment_id, sha256, byte_count, page_count; private storage key generated by the server, never a client path.</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Evidence span</w:t>
            </w:r>
          </w:p>
        </w:tc>
        <w:tc>
          <w:tcPr>
            <w:tcW w:type="dxa" w:w="83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span_id, document_id, page number, paragraph index, extracted text and extraction status. Cite stable IDs, not invented page references.</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Review request</w:t>
            </w:r>
          </w:p>
        </w:tc>
        <w:tc>
          <w:tcPr>
            <w:tcW w:type="dxa" w:w="83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schema_version, job_id, submission spans, optional authorized reference spans, rubric_version, prompt_version and provider configuration.</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Review result</w:t>
            </w:r>
          </w:p>
        </w:tc>
        <w:tc>
          <w:tcPr>
            <w:tcW w:type="dxa" w:w="83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result_id, result_version, provider/model, issues with evidence IDs, uncertainty, suggested feedback and review_state. No grade or proof-verification flag.</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Teacher decision</w:t>
            </w:r>
          </w:p>
        </w:tc>
        <w:tc>
          <w:tcPr>
            <w:tcW w:type="dxa" w:w="83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result_id + result_version, decision, edited feedback, reviewer identity and timestamp. A rerun creates a new version that is never auto-approved.</w:t>
            </w:r>
          </w:p>
        </w:tc>
      </w:tr>
    </w:tbl>
    <w:p>
      <w:pPr>
        <w:spacing w:after="0"/>
      </w:pPr>
    </w:p>
    <w:p>
      <w:pPr>
        <w:pStyle w:val="Heading2"/>
      </w:pPr>
      <w:r>
        <w:t>Durable jobs and honest retry semantics</w:t>
      </w:r>
    </w:p>
    <w:p>
      <w:r>
        <w:t>Keep processing state separate from review state. Processing is queued → running → completed, failed or canceled. Review is draft, needs_review, approved or rejected. A completed extraction with insufficient readable content can still require human review. Reject invalid PDFs before model calls; one bad item must not stop the remaining batch.</w:t>
      </w:r>
    </w:p>
    <w:p>
      <w:r>
        <w:t>Proposed queue: SQLite is the authoritative queue; commit jobs before returning IDs. One worker atomically claims a queued item using a unique lease token and expiry, then releases the database transaction before extraction or network work. Heartbeat while running. On restart, requeue only expired leases within the attempt budget; otherwise fail visibly. Accept a result only if its current lease token still matches and cancellation is absent.</w:t>
      </w:r>
    </w:p>
    <w:p>
      <w:r>
        <w:t>Cancellation marks queued jobs canceled and running jobs with a separate cancel_requested flag. Check between stages, stop when possible and discard late output. An in-flight provider request may still finish and cost money. Retries are at-least-once attempts, not exactly-once provider execution.</w:t>
      </w:r>
    </w:p>
    <w:p>
      <w:pPr>
        <w:pStyle w:val="Heading2"/>
      </w:pPr>
      <w:r>
        <w:t>Identity and interchangeable adapters</w:t>
      </w:r>
    </w:p>
    <w:p>
      <w:r>
        <w:t>Hash exact PDF bytes with SHA-256 for content identity. Scope deduplication to the authorized assignment and role. Reusing a result also requires the same rubric, reference set, prompt, extraction and provider configuration versions; a matching file hash alone is insufficient.</w:t>
      </w:r>
    </w:p>
    <w:p>
      <w:r>
        <w:t>Define JSON request/response and typed errors before code. Proposed HTTP operations create a batch, inspect a job, cancel a job, read a result, save a teacher decision and export an approved version. A thin CLI uses the same contract. Larger lists use a manifest and resumable bounded batches, not all PDFs in memory; scale is not demonstrated by this demo. The model adapter exposes review(request) → result and maps timeouts, rate limits, invalid JSON and provider failures to typed errors.</w:t>
      </w:r>
    </w:p>
    <w:p>
      <w:r>
        <w:br w:type="page"/>
      </w:r>
    </w:p>
    <w:p>
      <w:pPr>
        <w:pStyle w:val="Heading1"/>
      </w:pPr>
      <w:r>
        <w:t>Small implementation slices and acceptance tests</w:t>
      </w:r>
    </w:p>
    <w:p>
      <w:r>
        <w:t>After implementation is explicitly authorized, build the smallest path that proves the teacher workflow. Each slice ends with a visible result and recorded test output. Do not start the next slice when its dependency is failing.</w:t>
      </w:r>
    </w:p>
    <w:tbl>
      <w:tblPr>
        <w:tblW w:type="auto" w:w="0"/>
        <w:jc w:val="center"/>
        <w:tblLayout w:type="fixed"/>
        <w:tblLook w:firstColumn="1" w:firstRow="1" w:lastColumn="0" w:lastRow="0" w:noHBand="0" w:noVBand="1" w:val="04A0"/>
      </w:tblPr>
      <w:tblGrid>
        <w:gridCol w:w="2160"/>
        <w:gridCol w:w="6552"/>
        <w:gridCol w:w="1512"/>
      </w:tblGrid>
      <w:tr>
        <w:trPr>
          <w:cantSplit/>
          <w:tblHeader/>
        </w:trPr>
        <w:tc>
          <w:tcPr>
            <w:tcW w:type="dxa" w:w="2160"/>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jc w:val="center"/>
            </w:pPr>
            <w:r>
              <w:rPr>
                <w:b/>
                <w:color w:val="000000"/>
                <w:sz w:val="20"/>
              </w:rPr>
              <w:t>Slice</w:t>
            </w:r>
          </w:p>
        </w:tc>
        <w:tc>
          <w:tcPr>
            <w:tcW w:type="dxa" w:w="65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Acceptance evidence</w:t>
            </w:r>
          </w:p>
        </w:tc>
        <w:tc>
          <w:tcPr>
            <w:tcW w:type="dxa" w:w="151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Tests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jc w:val="center"/>
            </w:pPr>
            <w:r>
              <w:rPr>
                <w:b w:val="0"/>
                <w:color w:val="000000"/>
                <w:sz w:val="20"/>
              </w:rPr>
              <w:t>S1  Contracts and fixtures</w:t>
            </w:r>
          </w:p>
        </w:tc>
        <w:tc>
          <w:tcPr>
            <w:tcW w:type="dxa" w:w="65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Versioned schemas reject invalid fields; fixture manifest defines expectations without claiming accuracy.</w:t>
            </w:r>
          </w:p>
        </w:tc>
        <w:tc>
          <w:tcPr>
            <w:tcW w:type="dxa" w:w="151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T01</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jc w:val="center"/>
            </w:pPr>
            <w:r>
              <w:rPr>
                <w:b w:val="0"/>
                <w:color w:val="000000"/>
                <w:sz w:val="20"/>
              </w:rPr>
              <w:t>S2  Intake and extraction</w:t>
            </w:r>
          </w:p>
        </w:tc>
        <w:tc>
          <w:tcPr>
            <w:tcW w:type="dxa" w:w="65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Valid files get IDs and evidence spans. Invalid bytes are rejected. Unreadable scans require review.</w:t>
            </w:r>
          </w:p>
        </w:tc>
        <w:tc>
          <w:tcPr>
            <w:tcW w:type="dxa" w:w="151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T02 T05</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jc w:val="center"/>
            </w:pPr>
            <w:r>
              <w:rPr>
                <w:b w:val="0"/>
                <w:color w:val="000000"/>
                <w:sz w:val="20"/>
              </w:rPr>
              <w:t>S3  Durable jobs and fake</w:t>
            </w:r>
          </w:p>
        </w:tc>
        <w:tc>
          <w:tcPr>
            <w:tcW w:type="dxa" w:w="65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A fake-backed job survives worker restart; duplicates, cancellation and stale results behave as specified.</w:t>
            </w:r>
          </w:p>
        </w:tc>
        <w:tc>
          <w:tcPr>
            <w:tcW w:type="dxa" w:w="151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T03 T04</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jc w:val="center"/>
            </w:pPr>
            <w:r>
              <w:rPr>
                <w:b w:val="0"/>
                <w:color w:val="000000"/>
                <w:sz w:val="20"/>
              </w:rPr>
              <w:t>S4  Hosted adapter</w:t>
            </w:r>
          </w:p>
        </w:tc>
        <w:tc>
          <w:tcPr>
            <w:tcW w:type="dxa" w:w="65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One approved provider passes the shared contract; malformed output and network failures stay typed and visible.</w:t>
            </w:r>
          </w:p>
        </w:tc>
        <w:tc>
          <w:tcPr>
            <w:tcW w:type="dxa" w:w="151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T06 T07</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jc w:val="center"/>
            </w:pPr>
            <w:r>
              <w:rPr>
                <w:b w:val="0"/>
                <w:color w:val="000000"/>
                <w:sz w:val="20"/>
              </w:rPr>
              <w:t>S5  Teacher review and export</w:t>
            </w:r>
          </w:p>
        </w:tc>
        <w:tc>
          <w:tcPr>
            <w:tcW w:type="dxa" w:w="65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Teacher edits persist. Export requires approval of the exact result version; rerun invalidates prior approval.</w:t>
            </w:r>
          </w:p>
        </w:tc>
        <w:tc>
          <w:tcPr>
            <w:tcW w:type="dxa" w:w="151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T08</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jc w:val="center"/>
            </w:pPr>
            <w:r>
              <w:rPr>
                <w:b w:val="0"/>
                <w:color w:val="000000"/>
                <w:sz w:val="20"/>
              </w:rPr>
              <w:t>S6  End to end demo</w:t>
            </w:r>
          </w:p>
        </w:tc>
        <w:tc>
          <w:tcPr>
            <w:tcW w:type="dxa" w:w="655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Five fixtures, safe public view, regression evidence and disclosed limitations are ready for the demo.</w:t>
            </w:r>
          </w:p>
        </w:tc>
        <w:tc>
          <w:tcPr>
            <w:tcW w:type="dxa" w:w="151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T09 T10</w:t>
            </w:r>
          </w:p>
        </w:tc>
      </w:tr>
    </w:tbl>
    <w:p>
      <w:pPr>
        <w:spacing w:after="0"/>
      </w:pPr>
    </w:p>
    <w:p>
      <w:r>
        <w:t>Requirements R01–R10 map respectively to tests T01–T10; each slice lists its relevant tests.</w:t>
      </w:r>
    </w:p>
    <w:p>
      <w:pPr>
        <w:pStyle w:val="Heading2"/>
      </w:pPr>
      <w:r>
        <w:t>The fixed synthetic fixture set</w:t>
      </w:r>
    </w:p>
    <w:p>
      <w:r>
        <w:t>F1 contains a correct alternative proof that differs from a reference. Check that feedback does not demand reference wording. F2 contains a genuine logical gap with a cited location. F3 omits important work and must not receive invented reasoning. F4 is an ambiguous scan and must request human review. F5 is an invalid PDF and must be rejected. These are diagnostic cases, not a statistically valid benchmark.</w:t>
      </w:r>
    </w:p>
    <w:p>
      <w:pPr>
        <w:pStyle w:val="Heading2"/>
      </w:pPr>
      <w:r>
        <w:t>Test IDs to carry into every task</w:t>
      </w:r>
    </w:p>
    <w:p>
      <w:r>
        <w:t>T01 schema and state enums; T02 PDF limits, parse failures and evidence locations; T03 legal transitions, worker restart, expired leases, stale-result rejection and cancellation; T04 content and result deduplication across roles and versions; T05 provenance and extraction fallback; T06 unknown evidence IDs and invalid model JSON; T07 provider timeout, retry budget and typed errors; T08 approval persistence, rerun and export authorization; T09 authorization, prompt injection, path traversal and redacted logs; T10 full five-fixture workflow and adapter contract parity.</w:t>
      </w:r>
    </w:p>
    <w:p>
      <w:pPr>
        <w:pStyle w:val="Heading2"/>
      </w:pPr>
      <w:r>
        <w:t>Keep extraction and models replaceable</w:t>
      </w:r>
    </w:p>
    <w:p>
      <w:r>
        <w:t>Start with local text-PDF extraction behind an interface. Do not promise handwriting recognition or mathematical proof checking. Docling is an optional, heavier extraction candidate, not a required installation. [8] Use a deterministic fake for tests and one hosted provider for a live path. Hosted Gemma is a candidate because an API exists; access, quota, pricing and challenge eligibility still require verification. [7] Do not assume a GPU or download local model weights.</w:t>
      </w:r>
    </w:p>
    <w:p>
      <w:r>
        <w:br w:type="page"/>
      </w:r>
    </w:p>
    <w:p>
      <w:pPr>
        <w:pStyle w:val="Heading1"/>
      </w:pPr>
      <w:r>
        <w:t>A four hour build and demo schedule</w:t>
      </w:r>
    </w:p>
    <w:p>
      <w:r>
        <w:t>The published event schedule starts building at 13:00 and demos at 17:00 on 28 October 2026 in Mexico City. [1] Use four hours as the maximum build-to-demo window. The exact submission deadline and permission to use pre-event code remain unconfirmed; get those answers before relying on this schedule.</w:t>
      </w:r>
    </w:p>
    <w:tbl>
      <w:tblPr>
        <w:tblW w:type="auto" w:w="0"/>
        <w:jc w:val="center"/>
        <w:tblLayout w:type="fixed"/>
        <w:tblLook w:firstColumn="1" w:firstRow="1" w:lastColumn="0" w:lastRow="0" w:noHBand="0" w:noVBand="1" w:val="04A0"/>
      </w:tblPr>
      <w:tblGrid>
        <w:gridCol w:w="1656"/>
        <w:gridCol w:w="3672"/>
        <w:gridCol w:w="4896"/>
      </w:tblGrid>
      <w:tr>
        <w:trPr>
          <w:cantSplit/>
          <w:tblHeader/>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jc w:val="center"/>
            </w:pPr>
            <w:r>
              <w:rPr>
                <w:b/>
                <w:color w:val="000000"/>
                <w:sz w:val="20"/>
              </w:rPr>
              <w:t>CDMX time</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Focus</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E8EDF1"/>
          </w:tcPr>
          <w:p>
            <w:pPr>
              <w:spacing w:after="0" w:line="245" w:lineRule="auto"/>
            </w:pPr>
            <w:r>
              <w:rPr>
                <w:b/>
                <w:color w:val="000000"/>
                <w:sz w:val="20"/>
              </w:rPr>
              <w:t>Exit condition</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jc w:val="center"/>
            </w:pPr>
            <w:r>
              <w:rPr>
                <w:b w:val="0"/>
                <w:color w:val="000000"/>
                <w:sz w:val="20"/>
              </w:rPr>
              <w:t>13:00–13:20</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Read-only audit and spec decisions</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Reuse map, PDF roles, permitted stack, credentials and budget are settled; freeze minimum scope.</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jc w:val="center"/>
            </w:pPr>
            <w:r>
              <w:rPr>
                <w:b w:val="0"/>
                <w:color w:val="000000"/>
                <w:sz w:val="20"/>
              </w:rPr>
              <w:t>13:20–14:00</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S1 and S2</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Contracts and five-fixture manifest; safe intake and extractable evidence; invalid input rejected.</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jc w:val="center"/>
            </w:pPr>
            <w:r>
              <w:rPr>
                <w:b w:val="0"/>
                <w:color w:val="000000"/>
                <w:sz w:val="20"/>
              </w:rPr>
              <w:t>14:00–14:40</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S3</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Durable fake-backed path; restart, dedup and cancellation checks pass.</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jc w:val="center"/>
            </w:pPr>
            <w:r>
              <w:rPr>
                <w:b w:val="0"/>
                <w:color w:val="000000"/>
                <w:sz w:val="20"/>
              </w:rPr>
              <w:t>14:40–15:15</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S4 and S5</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One hosted adapter and teacher approval/export work, or blockers are explicitly disclosed.</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jc w:val="center"/>
            </w:pPr>
            <w:r>
              <w:rPr>
                <w:b w:val="0"/>
                <w:color w:val="000000"/>
                <w:sz w:val="20"/>
              </w:rPr>
              <w:t>15:15–16:00</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S6 and critical fixes</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Run the five-fixture demo and security checks; prepare only an authorized deployment path.</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jc w:val="center"/>
            </w:pPr>
            <w:r>
              <w:rPr>
                <w:b w:val="0"/>
                <w:color w:val="000000"/>
                <w:sz w:val="20"/>
              </w:rPr>
              <w:t>16:00–16:15</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Feature freeze and deployment cutoff</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7F8F9"/>
          </w:tcPr>
          <w:p>
            <w:pPr>
              <w:spacing w:after="0" w:line="245" w:lineRule="auto"/>
            </w:pPr>
            <w:r>
              <w:rPr>
                <w:b w:val="0"/>
                <w:color w:val="000000"/>
                <w:sz w:val="20"/>
              </w:rPr>
              <w:t>No new features. If hosting or TLS is not ready, switch to a disclosed local demo and recording.</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jc w:val="center"/>
            </w:pPr>
            <w:r>
              <w:rPr>
                <w:b w:val="0"/>
                <w:color w:val="000000"/>
                <w:sz w:val="20"/>
              </w:rPr>
              <w:t>16:15–17:00</w:t>
            </w:r>
          </w:p>
        </w:tc>
        <w:tc>
          <w:tcPr>
            <w:tcW w:type="dxa" w:w="3672"/>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Submission and rehearsal</w:t>
            </w:r>
          </w:p>
        </w:tc>
        <w:tc>
          <w:tcPr>
            <w:tcW w:type="dxa" w:w="4896"/>
            <w:vAlign w:val="center"/>
            <w:tcBorders>
              <w:top w:val="single" w:sz="4" w:color="D9D9D9"/>
              <w:left w:val="single" w:sz="4" w:color="D9D9D9"/>
              <w:bottom w:val="single" w:sz="4" w:color="D9D9D9"/>
              <w:right w:val="single" w:sz="4" w:color="D9D9D9"/>
            </w:tcBorders>
            <w:tcMar>
              <w:top w:w="65" w:type="dxa"/>
              <w:left w:w="80" w:type="dxa"/>
              <w:bottom w:w="65" w:type="dxa"/>
              <w:right w:w="80" w:type="dxa"/>
            </w:tcMar>
            <w:shd w:fill="FFFFFF"/>
          </w:tcPr>
          <w:p>
            <w:pPr>
              <w:spacing w:after="0" w:line="245" w:lineRule="auto"/>
            </w:pPr>
            <w:r>
              <w:rPr>
                <w:b w:val="0"/>
                <w:color w:val="000000"/>
                <w:sz w:val="20"/>
              </w:rPr>
              <w:t>Reserve at least 45 minutes for README, evidence, recording, required submission and practice.</w:t>
            </w:r>
          </w:p>
        </w:tc>
      </w:tr>
    </w:tbl>
    <w:p>
      <w:pPr>
        <w:spacing w:after="0"/>
      </w:pPr>
    </w:p>
    <w:p>
      <w:pPr>
        <w:pStyle w:val="Heading2"/>
      </w:pPr>
      <w:r>
        <w:t>Assign responsibilities to the actual team</w:t>
      </w:r>
    </w:p>
    <w:p>
      <w:r>
        <w:t>Assign a spec and integration owner, a pipeline and adapter owner, and a review/demo owner. One person may hold several roles. If working alone, finish the fake-backed vertical slice before the live adapter and keep the review screen minimal. Do not assume the published team format describes the team already available.</w:t>
      </w:r>
    </w:p>
    <w:p>
      <w:pPr>
        <w:pStyle w:val="Heading2"/>
      </w:pPr>
      <w:r>
        <w:t>Cut scope in this order</w:t>
      </w:r>
    </w:p>
    <w:p>
      <w:r>
        <w:t>Drop a second provider, n8n integration, OCR, dashboard polish and extra export formats first. Preserve provenance, teacher approval, durable state, one hosted provider, safe errors and a reproducible demo. If provider access is still blocked, a fake-only fallback is useful engineering evidence but does not satisfy the planned live-provider milestone; say so.</w:t>
      </w:r>
    </w:p>
    <w:p>
      <w:r>
        <w:t>n8n may later call the HTTP contract as an external orchestrator. It is not needed to run the worker. Firecrawl and Tavily do not belong in the private student-PDF path. Skip voice and ElevenLabs in this demo. Select sponsor integrations only when they prove the core use case, not merely to add logos.</w:t>
      </w:r>
    </w:p>
    <w:p>
      <w:pPr>
        <w:pStyle w:val="Heading2"/>
      </w:pPr>
      <w:r>
        <w:t>Do not lose the submission window</w:t>
      </w:r>
    </w:p>
    <w:p>
      <w:r>
        <w:t>At 16:00, record exactly what works and stop feature work. At 16:15, stop deployment troubleshooting. If the organizer’s deadline is earlier, move both cutoffs earlier and protect the same rehearsal buffer. Do not describe a local or recorded fallback as a live .tech deployment. Prepare a README with demo instructions, synthetic-only warning and limitations; confirm the license and dependency/data attribution before any authorized publication.</w:t>
      </w:r>
    </w:p>
    <w:p>
      <w:r>
        <w:br w:type="page"/>
      </w:r>
    </w:p>
    <w:p>
      <w:pPr>
        <w:pStyle w:val="Heading1"/>
      </w:pPr>
      <w:r>
        <w:t>Security and the gated deployment plan</w:t>
      </w:r>
    </w:p>
    <w:p>
      <w:r>
        <w:t>The public demonstration should expose only approved synthetic fixtures and their approved outputs. Disable anonymous arbitrary uploads. Keep teacher review authenticated or local-only. A production system for real students needs a separate privacy, consent, retention and operational review.</w:t>
      </w:r>
    </w:p>
    <w:p>
      <w:pPr>
        <w:pStyle w:val="Heading2"/>
      </w:pPr>
      <w:r>
        <w:t>Controls that belong in the acceptance tests</w:t>
      </w:r>
    </w:p>
    <w:p>
      <w:pPr>
        <w:pStyle w:val="ListBullet"/>
      </w:pPr>
      <w:r>
        <w:t>Treat submissions as untrusted data. Ignore document instructions, never enable model tools, keep reference trust assigned by the teacher, and validate every cited evidence ID against the request.</w:t>
      </w:r>
    </w:p>
    <w:p>
      <w:pPr>
        <w:pStyle w:val="ListBullet"/>
      </w:pPr>
      <w:r>
        <w:t>Use server-generated IDs and authorized lookups. Keep PDFs outside the web root; reject traversal and arbitrary URL fetching. Do not disclose reference answer keys in student-facing feedback or logs.</w:t>
      </w:r>
    </w:p>
    <w:p>
      <w:pPr>
        <w:pStyle w:val="ListBullet"/>
      </w:pPr>
      <w:r>
        <w:t>Proposed demo limits, subject to approval: five files per batch, 5 MiB per file, ten pages per file, 25 pages total and one active model request. Apply extraction time/memory limits, a 45-second provider timeout and at most two attempts; also enforce an approved token/spend cap.</w:t>
      </w:r>
    </w:p>
    <w:p>
      <w:pPr>
        <w:pStyle w:val="ListBullet"/>
      </w:pPr>
      <w:r>
        <w:t>Keep credentials server-side and out of Git, browser code, CLAUDE.md and screenshots. Logs contain IDs, durations and typed errors, not student text, answer keys, prompts or API keys. Persist approval and audit metadata.</w:t>
      </w:r>
    </w:p>
    <w:p>
      <w:pPr>
        <w:pStyle w:val="Heading2"/>
      </w:pPr>
      <w:r>
        <w:t>Prefer one small DigitalOcean Droplet for this demo</w:t>
      </w:r>
    </w:p>
    <w:p>
      <w:r>
        <w:t>Proposed deployment is a CPU Droplet running Docker Compose with a web service, one worker and a TLS reverse proxy. Put SQLite and private files on a named volume. Containers may restart without losing that volume, but a volume on the same Droplet is not a backup against host or disk loss. SQLite is for this single-host demo, not distributed scale. [9, 10]</w:t>
      </w:r>
    </w:p>
    <w:p>
      <w:r>
        <w:t>Do not put durable SQLite or PDFs on App Platform’s local filesystem: it is nonpersistent, limited to 4 GiB, and volumes are unsupported. [6] Spaces and a managed database are possible later designs, not hackathon dependencies. No GPU is required for local text extraction plus hosted inference.</w:t>
      </w:r>
    </w:p>
    <w:p>
      <w:pPr>
        <w:pStyle w:val="Heading2"/>
      </w:pPr>
      <w:r>
        <w:t>Deployment remains a plan until separately approved</w:t>
      </w:r>
    </w:p>
    <w:p>
      <w:r>
        <w:t>Before execution, confirm domain ownership, the exact hostname, DNS authority, current DigitalOcean pricing or credits, a spending cap and API credentials. Plan DNS records to the Droplet, HTTPS certificate issuance and renewal, restricted administration, a health check and a restart smoke test. A raw Droplet does not inherit App Platform’s managed TLS.</w:t>
      </w:r>
    </w:p>
    <w:p>
      <w:r>
        <w:t>DNS caching can delay visibility; do not assume a .tech address becomes usable immediately. Verify the authoritative records and external HTTPS before announcing a live URL. [11] Budget for domain, compute and model usage rather than assuming sponsor credits cover them. No subscriptions, billing changes, purchases or infrastructure creation are authorized by this document.</w:t>
      </w:r>
    </w:p>
    <w:p>
      <w:r>
        <w:br w:type="page"/>
      </w:r>
    </w:p>
    <w:p>
      <w:pPr>
        <w:pStyle w:val="Heading1"/>
      </w:pPr>
      <w:r>
        <w:t>Completion checks and the judges demonstration</w:t>
      </w:r>
    </w:p>
    <w:p>
      <w:pPr>
        <w:pStyle w:val="Heading2"/>
      </w:pPr>
      <w:r>
        <w:t>Minimum acceptance checklist</w:t>
      </w:r>
    </w:p>
    <w:p>
      <w:pPr>
        <w:pStyle w:val="ListBullet"/>
      </w:pPr>
      <w:r>
        <w:t>[ ] All five synthetic cases have recorded outcomes: F1–F3 produce reviewable drafts, F4 explicitly needs review, and F5 is rejected without a model call.</w:t>
      </w:r>
    </w:p>
    <w:p>
      <w:pPr>
        <w:pStyle w:val="ListBullet"/>
      </w:pPr>
      <w:r>
        <w:t>[ ] Known evidence IDs resolve to the correct document, page and paragraph; unknown citations and malformed model responses are rejected.</w:t>
      </w:r>
    </w:p>
    <w:p>
      <w:pPr>
        <w:pStyle w:val="ListBullet"/>
      </w:pPr>
      <w:r>
        <w:t>[ ] Worker restart preserves committed jobs and decisions. Cancellation, deduplication, bounded retry and stale-result tests pass.</w:t>
      </w:r>
    </w:p>
    <w:p>
      <w:pPr>
        <w:pStyle w:val="ListBullet"/>
      </w:pPr>
      <w:r>
        <w:t>[ ] Teacher edits and approval survive restart. Only the approved result version is exported; reruns require a new decision.</w:t>
      </w:r>
    </w:p>
    <w:p>
      <w:pPr>
        <w:pStyle w:val="ListBullet"/>
      </w:pPr>
      <w:r>
        <w:t>[ ] The fake and one real adapter pass the same contract tests. Public access is fixture-only, secrets are absent, and measured evidence is saved.</w:t>
      </w:r>
    </w:p>
    <w:p>
      <w:r>
        <w:t>Demo in three minutes: explain the nonprofit’s review bottleneck; run the fixed batch; inspect one cited gap and one uncertain scan; edit and approve feedback; export the approved version; show adapter parity and the restart evidence. Identify the model and whether the path is live, recorded or fake-backed.</w:t>
      </w:r>
    </w:p>
    <w:p>
      <w:r>
        <w:t>Tell judges separately what is implemented and tested, what was only planned, and what failed. Report actual counts and timings only after measurement. Do not claim an accuracy percentage, mathematical proof verification, production readiness, or a deployed .tech site without evidence.</w:t>
      </w:r>
    </w:p>
    <w:p>
      <w:pPr>
        <w:pStyle w:val="Heading2"/>
      </w:pPr>
      <w:r>
        <w:t>Sources and factual boundaries</w:t>
      </w:r>
    </w:p>
    <w:p>
      <w:r>
        <w:t>Architecture, limits, schedule allocations and test design above are recommendations. The following official sources support the cited product mechanics and event facts. Links checked 28 October 2026; provider access, costs and event rules still need project-specific confirmation.</w:t>
      </w:r>
    </w:p>
    <w:p>
      <w:pPr>
        <w:spacing w:after="60"/>
      </w:pPr>
      <w:r>
        <w:rPr>
          <w:b/>
          <w:sz w:val="17"/>
        </w:rPr>
        <w:t xml:space="preserve">[1] MLH event and schedule  </w:t>
      </w:r>
      <w:r>
        <w:rPr>
          <w:sz w:val="17"/>
        </w:rPr>
        <w:t>https://events.mlh.com/events/14760-hacktoberfest-hack-day-in-mexico-city</w:t>
      </w:r>
    </w:p>
    <w:p>
      <w:pPr>
        <w:spacing w:after="60"/>
      </w:pPr>
      <w:r>
        <w:rPr>
          <w:b/>
          <w:sz w:val="17"/>
        </w:rPr>
        <w:t xml:space="preserve">[2] Claude Code planning workflow  </w:t>
      </w:r>
      <w:r>
        <w:rPr>
          <w:sz w:val="17"/>
        </w:rPr>
        <w:t>https://code.claude.com/docs/en/common-workflows#plan-before-editing</w:t>
      </w:r>
    </w:p>
    <w:p>
      <w:pPr>
        <w:spacing w:after="60"/>
      </w:pPr>
      <w:r>
        <w:rPr>
          <w:b/>
          <w:sz w:val="17"/>
        </w:rPr>
        <w:t xml:space="preserve">[3] Claude Code project memory  </w:t>
      </w:r>
      <w:r>
        <w:rPr>
          <w:sz w:val="17"/>
        </w:rPr>
        <w:t>https://code.claude.com/docs/en/memory</w:t>
      </w:r>
    </w:p>
    <w:p>
      <w:pPr>
        <w:spacing w:after="60"/>
      </w:pPr>
      <w:r>
        <w:rPr>
          <w:b/>
          <w:sz w:val="17"/>
        </w:rPr>
        <w:t xml:space="preserve">[4] Claude Code permission modes  </w:t>
      </w:r>
      <w:r>
        <w:rPr>
          <w:sz w:val="17"/>
        </w:rPr>
        <w:t>https://code.claude.com/docs/en/permissions#permission-modes</w:t>
      </w:r>
    </w:p>
    <w:p>
      <w:pPr>
        <w:spacing w:after="60"/>
      </w:pPr>
      <w:r>
        <w:rPr>
          <w:b/>
          <w:sz w:val="17"/>
        </w:rPr>
        <w:t xml:space="preserve">[5] Claude Code checkpoint limitations  </w:t>
      </w:r>
      <w:r>
        <w:rPr>
          <w:sz w:val="17"/>
        </w:rPr>
        <w:t>https://code.claude.com/docs/en/checkpointing</w:t>
      </w:r>
    </w:p>
    <w:p>
      <w:pPr>
        <w:spacing w:after="60"/>
      </w:pPr>
      <w:r>
        <w:rPr>
          <w:b/>
          <w:sz w:val="17"/>
        </w:rPr>
        <w:t xml:space="preserve">[6] DigitalOcean App Platform limits  </w:t>
      </w:r>
      <w:r>
        <w:rPr>
          <w:sz w:val="17"/>
        </w:rPr>
        <w:t>https://docs.digitalocean.com/products/app-platform/details/limits/</w:t>
      </w:r>
    </w:p>
    <w:p>
      <w:pPr>
        <w:spacing w:after="60"/>
      </w:pPr>
      <w:r>
        <w:rPr>
          <w:b/>
          <w:sz w:val="17"/>
        </w:rPr>
        <w:t xml:space="preserve">[7] Hosted Gemma API  </w:t>
      </w:r>
      <w:r>
        <w:rPr>
          <w:sz w:val="17"/>
        </w:rPr>
        <w:t>https://ai.google.dev/gemma/docs/core/gemma_on_gemini_api</w:t>
      </w:r>
    </w:p>
    <w:p>
      <w:pPr>
        <w:spacing w:after="60"/>
      </w:pPr>
      <w:r>
        <w:rPr>
          <w:b/>
          <w:sz w:val="17"/>
        </w:rPr>
        <w:t xml:space="preserve">[8] Docling project  </w:t>
      </w:r>
      <w:r>
        <w:rPr>
          <w:sz w:val="17"/>
        </w:rPr>
        <w:t>https://github.com/docling-project/docling</w:t>
      </w:r>
    </w:p>
    <w:p>
      <w:pPr>
        <w:spacing w:after="60"/>
      </w:pPr>
      <w:r>
        <w:rPr>
          <w:b/>
          <w:sz w:val="17"/>
        </w:rPr>
        <w:t xml:space="preserve">[9] Docker volumes  </w:t>
      </w:r>
      <w:r>
        <w:rPr>
          <w:sz w:val="17"/>
        </w:rPr>
        <w:t>https://docs.docker.com/engine/storage/volumes/</w:t>
      </w:r>
    </w:p>
    <w:p>
      <w:pPr>
        <w:spacing w:after="60"/>
      </w:pPr>
      <w:r>
        <w:rPr>
          <w:b/>
          <w:sz w:val="17"/>
        </w:rPr>
        <w:t xml:space="preserve">[10] SQLite appropriate uses  </w:t>
      </w:r>
      <w:r>
        <w:rPr>
          <w:sz w:val="17"/>
        </w:rPr>
        <w:t>https://www.sqlite.org/whentouse.html</w:t>
      </w:r>
    </w:p>
    <w:p>
      <w:pPr>
        <w:spacing w:after="60"/>
      </w:pPr>
      <w:r>
        <w:rPr>
          <w:b/>
          <w:sz w:val="17"/>
        </w:rPr>
        <w:t xml:space="preserve">[11] DigitalOcean DNS records  </w:t>
      </w:r>
      <w:r>
        <w:rPr>
          <w:sz w:val="17"/>
        </w:rPr>
        <w:t>https://docs.digitalocean.com/products/networking/dns/how-to/manage-records/</w:t>
      </w:r>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Homework review SDD blueprint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ind w:left="230" w:hanging="187"/>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5" w:lineRule="auto"/>
      <w:ind w:left="230" w:hanging="187"/>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homework review blueprint</dc:title>
  <dc:subject>Spec driven development plan for a teacher reviewed PDF homework component</dc:subject>
  <dc:creator/>
  <cp:keywords>Hacktoberfest, specification, Claude Code, homework review</cp:keywords>
  <dc:description>generated by python-docx</dc:description>
  <cp:lastModifiedBy/>
  <cp:revision>1</cp:revision>
  <dcterms:created xsi:type="dcterms:W3CDTF">2013-12-23T23:15:00Z</dcterms:created>
  <dcterms:modified xsi:type="dcterms:W3CDTF">2013-12-23T23:15:00Z</dcterms:modified>
  <cp:category/>
</cp:coreProperties>
</file>