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84"/>
          <w:szCs w:val="84"/>
        </w:rPr>
      </w:pPr>
      <w:r w:rsidDel="00000000" w:rsidR="00000000" w:rsidRPr="00000000">
        <w:rPr>
          <w:rFonts w:ascii="Arial" w:cs="Arial" w:eastAsia="Arial" w:hAnsi="Arial"/>
          <w:sz w:val="84"/>
          <w:szCs w:val="84"/>
          <w:rtl w:val="0"/>
        </w:rPr>
        <w:t xml:space="preserve">Plan de capacitación para el proyecto SINH2O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Arial" w:cs="Arial" w:eastAsia="Arial" w:hAnsi="Arial"/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8094.000000000001" w:tblpY="0"/>
            <w:tblW w:w="202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25"/>
            <w:tblGridChange w:id="0">
              <w:tblGrid>
                <w:gridCol w:w="2025"/>
              </w:tblGrid>
            </w:tblGridChange>
          </w:tblGrid>
          <w:tr>
            <w:trPr>
              <w:cantSplit w:val="0"/>
              <w:trHeight w:val="1085.9765625" w:hRule="atLeast"/>
              <w:tblHeader w:val="0"/>
            </w:trPr>
            <w:tc>
              <w:tcPr/>
              <w:p w:rsidR="00000000" w:rsidDel="00000000" w:rsidP="00000000" w:rsidRDefault="00000000" w:rsidRPr="00000000" w14:paraId="0000000A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Matias Mora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Sebastian Pino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spacing w:after="0" w:line="240" w:lineRule="auto"/>
                  <w:jc w:val="center"/>
                  <w:rPr>
                    <w:rFonts w:ascii="Arial" w:cs="Arial" w:eastAsia="Arial" w:hAnsi="Arial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Andres Silva</w:t>
                </w:r>
              </w:p>
            </w:tc>
          </w:tr>
        </w:tbl>
      </w:sdtContent>
    </w:sdt>
    <w:p w:rsidR="00000000" w:rsidDel="00000000" w:rsidP="00000000" w:rsidRDefault="00000000" w:rsidRPr="00000000" w14:paraId="0000000D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Agenda de capacitación: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 Introducción: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line="276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introducción a la capacitación tendrá una duración de 25 a 30 minutos, donde se presentarán los objetivos y beneficios del proyecto SINH2O, además de una breve explicación de sus funcionalidades principales.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76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material utilizado para la capacitación será un power point.</w:t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 Capacitación para utilizar el sistema: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line="276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curso para utilizar de buena manera el sistema, tendrá una duración de 1 horas.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line="276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 primero que se explicara es la navegación por la aplicación, el uso de la cuadrícula de las zonas de riego y los estanques; También será incluida la interpretación de los datos de temperatura, humedad y nivel de agua que se podrán observar al usar el sistema.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76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segunda fase de la capacitación, explicará las operaciones básicas, como activar el riego automático, administrar el llenado de estanques y la revisión de los sensores para prevenir posibles averías.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3) Solución de problemas y mantenimiento: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curso para solucionar posibles problemas en el sistema y aplicar mantenimientos cuando sea pertinente, tendrá una duración de 2 horas.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276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el curso se instruirá como identificar y resolver obstrucciones en el sistema de riego.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 instruirá cómo verificar las conexiones entre los sensores, con el sistema central.</w:t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4) Cierre y evaluación de la capacitación: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="276" w:lineRule="auto"/>
        <w:ind w:left="72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evaluar los conocimientos adquiridos en el curso, se realizará una pequeña prueba técnica, después una encuesta de satisfacción para saber que tanto les agrado el curso y en qué aspectos podemos mejorar.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line="276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finalizar la evaluación se entregará certificado a los participantes que lograron responder correctamente la prueba.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="276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fase de la capacitación no debe tener una duración mayor de 1 hora.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materiales necesarios para esta fase son: Prueba, lista de asistencia y certificados. 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Requisitos previos: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Contar con una sala que tenga proyector y conexión a internet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computadora y celular que contengan el sistema SINH2O instalados para las prácticas.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Material de apoyo para los participantes impresos.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Resultados esperados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usuarios estarán familiarizados con la interfaz gráfica del sistema y las funcionalidades que este posee.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Los usuarios serán capaces de operar el sistema SINH2O de manera autónoma.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Todos los usuarios conocerán los procedimientos básicos de mantenimiento y solución de problemas.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tabs>
        <w:tab w:val="center" w:leader="none" w:pos="4419"/>
        <w:tab w:val="right" w:leader="none" w:pos="8838"/>
      </w:tabs>
      <w:spacing w:after="0" w:line="240" w:lineRule="auto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-581024</wp:posOffset>
          </wp:positionH>
          <wp:positionV relativeFrom="paragraph">
            <wp:posOffset>-180974</wp:posOffset>
          </wp:positionV>
          <wp:extent cx="2591753" cy="57507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91753" cy="5750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tabs>
        <w:tab w:val="center" w:leader="none" w:pos="4419"/>
        <w:tab w:val="right" w:leader="none" w:pos="8838"/>
      </w:tabs>
      <w:spacing w:after="0" w:line="240" w:lineRule="auto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4971721" cy="1107758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71721" cy="11077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A5F1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FA5F1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FA5F1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A5F1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A5F1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A5F1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A5F1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A5F1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A5F1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FA5F1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FA5F1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FA5F1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A5F1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A5F1D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A5F1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A5F1D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A5F1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A5F1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FA5F1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A5F1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A5F1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FA5F1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FA5F1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FA5F1D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FA5F1D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FA5F1D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A5F1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A5F1D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FA5F1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LiebtEWnL6DNAmvsOpyZhsadUQ==">CgMxLjAaHwoBMBIaChgICVIUChJ0YWJsZS44ajFyZzIyM3hmNXk4AHIhMWc4RXpkd2FzQ2J3QldERVhvTGg4eksyM192SkdVbUVG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2024-12-07T19:48:00Z</dcterms:created>
  <dc:creator>Matias Mora</dc:creator>
</cp:coreProperties>
</file>