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&lt;21&gt;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highlight w:val="white"/>
                <w:rtl w:val="0"/>
              </w:rPr>
              <w:t xml:space="preserve">Detección de obstrucciones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2v  05/09/2024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Notificación y detección de obstrucciones.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highlight w:val="white"/>
                <w:rtl w:val="0"/>
              </w:rPr>
              <w:t xml:space="preserve">generador de reportes de errores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50.751953125000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highlight w:val="white"/>
                <w:rtl w:val="0"/>
              </w:rPr>
              <w:t xml:space="preserve">Apartado donde 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el sistema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podrá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highlight w:val="white"/>
                <w:rtl w:val="0"/>
              </w:rPr>
              <w:t xml:space="preserve"> notificar la obstrucción de entidades en 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el correcto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highlight w:val="white"/>
                <w:rtl w:val="0"/>
              </w:rPr>
              <w:t xml:space="preserve"> funcionamiento del dispositivo.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previamente, debe estar instalado el dispositivo de 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obstrucciones.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actualiza el apartado de errores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evalúa si existen obstrucciones.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notifica la existencia de una obstrucción 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accede al apartado de notificaciones.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Instalación correcta del dispositivo.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Correcta vinculación de dispositivo y software.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Actualización: 10 a 20 seg.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evaluación: 5 a 10 seg.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notificación: 5 a 10 seg.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a 1000/ al 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dispositivo permanecerá apagado mientras exista una obstrucción.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-499237</wp:posOffset>
          </wp:positionV>
          <wp:extent cx="2209800" cy="367030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4rBjGqVQYSQ8DOlRjHRl9X2I0Q==">CgMxLjA4AHIhMXNKczhuVWpSODFvWUpDb0ZtTEVvb3lQM1dzcjJKTGVR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2022-09-07T23:15:00Z</dcterms:created>
  <dc:creator>Marcelo Godoy Gálvez</dc:creator>
</cp:coreProperties>
</file>