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&lt;22&gt;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Historial de errores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2v 05/09/2024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Usuario/administrador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Registro de errores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generador de reportes de errores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0.751953125000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Apartado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rtl w:val="0"/>
              </w:rPr>
              <w:t xml:space="preserve"> enfocado al 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registro de errores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Correcta instalación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usuario/administrador debe poseer una cuenta válida e iniciar sesión.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usuario/administrador accede al apartado de información.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usuario/administrador ingresa a la sección de Historial.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 sistema enseñará al usuario/administrador el historial de errores.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iniciar sesión de manera 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accede correctamente al apartado indicado.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inicio de sesión: de 5 a 10 seg. 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despliegue de historial: de 5 a 10 seg.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 1000/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 error tendrá su categoría, especificando la gravedad del mismo y lo necesario que es resolverlo.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7/d0hcn6+Kw3vKvvsZ2rc9zntQ==">CgMxLjA4AHIhMURQN3dhMURvZElndkZZalFlX2x6bmJmbzhkY19xX2tL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2022-09-07T23:37:00Z</dcterms:created>
  <dc:creator>Marcelo Godoy Gálvez</dc:creator>
</cp:coreProperties>
</file>