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2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85"/>
        <w:gridCol w:w="825"/>
        <w:gridCol w:w="6315"/>
        <w:tblGridChange w:id="0">
          <w:tblGrid>
            <w:gridCol w:w="3285"/>
            <w:gridCol w:w="825"/>
            <w:gridCol w:w="6315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RF- &lt;09&gt;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Interfaz de opciones visuales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2v  05/09/2024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Usuario/Administrador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Configurar o ajustar los caracteres y/o iconos de la interfaz.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debe iniciar sesión y acceder al apartado de opciones</w:t>
            </w:r>
          </w:p>
        </w:tc>
      </w:tr>
      <w:tr>
        <w:trPr>
          <w:cantSplit w:val="1"/>
          <w:trHeight w:val="109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 este apartado el usuario podrá modificar los caracteres y/o iconos de la interfaz de la app. También podrá seleccionar opciones visuales como contraste y modo oscuro.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Usuario/ Usuario Administrador esté logueado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usuario/administrador accede al sistema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usuario/administrador selecciona el apartado de información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desplegará diferentes apartados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usuario/administrador selecciona el ícono de opciones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despliega los apartados de opciones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usuario/administrador selecciona la opción de opciones visuales.</w:t>
            </w:r>
          </w:p>
        </w:tc>
      </w:tr>
      <w:tr>
        <w:trPr>
          <w:cantSplit w:val="1"/>
          <w:trHeight w:val="2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usuario/administrador debe hacer los ajustes que considere necesarios.</w:t>
            </w:r>
          </w:p>
        </w:tc>
      </w:tr>
      <w:tr>
        <w:trPr>
          <w:cantSplit w:val="1"/>
          <w:trHeight w:val="42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usuario/administrador debe seleccionar el icono de guardar y aplicar cambios.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usuario/administrador podrá visualizar los cambios realizados en la interfaz principal.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A">
            <w:pPr>
              <w:pStyle w:val="Heading1"/>
              <w:keepLines w:val="0"/>
              <w:spacing w:after="0" w:before="0"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usuario/administrador no posee una cuenta válida o no completa los campos de forma correcta.</w:t>
            </w:r>
          </w:p>
        </w:tc>
      </w:tr>
      <w:tr>
        <w:trPr>
          <w:cantSplit w:val="1"/>
          <w:trHeight w:val="142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usuario/administrador  realizó  los cambios  pero no guardó y aplicó  antes de salir del menú de opciones.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a 3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a 5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 seg. a 5 min.</w:t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a 5 segundos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a 50 veces / al dia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tiempo de aplicación de los cambios puede variar dependiendo del rendimiento del hardware.</w:t>
            </w:r>
          </w:p>
        </w:tc>
      </w:tr>
    </w:tbl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UwoKa7cuP5sIviLrAvphd1SFwA==">CgMxLjA4AHIhMW1pd0dLQlNna2ZOa3RzQnJrQ3dkTWNmb21mVGh0LXE5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