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la siguiente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
        </w:rPr>
        <w:t xml:space="preserve">x:</w:t>
      </w:r>
      <w:r>
        <w:t xml:space="preserve"> </w:t>
      </w:r>
      <w:r>
        <w:t xml:space="preserve">vector numérico que representa la muestra</w:t>
      </w:r>
    </w:p>
    <w:p>
      <w:pPr>
        <w:numPr>
          <w:ilvl w:val="0"/>
          <w:numId w:val="1001"/>
        </w:numPr>
        <w:pStyle w:val="Compact"/>
      </w:pPr>
      <w:r>
        <w:rPr>
          <w:b/>
        </w:rPr>
        <w:t xml:space="preserve">sigma2:</w:t>
      </w:r>
      <w:r>
        <w:t xml:space="preserve"> </w:t>
      </w:r>
      <w:r>
        <w:t xml:space="preserve">varianza de la muestra</w:t>
      </w:r>
    </w:p>
    <w:p>
      <w:pPr>
        <w:numPr>
          <w:ilvl w:val="0"/>
          <w:numId w:val="1001"/>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
        </w:rPr>
        <w:t xml:space="preserve">x:</w:t>
      </w:r>
      <w:r>
        <w:t xml:space="preserve"> </w:t>
      </w:r>
      <w:r>
        <w:t xml:space="preserve">la muestra</w:t>
      </w:r>
    </w:p>
    <w:p>
      <w:pPr>
        <w:numPr>
          <w:ilvl w:val="0"/>
          <w:numId w:val="1002"/>
        </w:numPr>
        <w:pStyle w:val="Compact"/>
      </w:pPr>
      <w:r>
        <w:rPr>
          <w:b/>
        </w:rPr>
        <w:t xml:space="preserve">sigma.x:</w:t>
      </w:r>
      <w:r>
        <w:t xml:space="preserve"> </w:t>
      </w:r>
      <w:r>
        <w:t xml:space="preserve">desviación estandar de la muestra</w:t>
      </w:r>
    </w:p>
    <w:p>
      <w:pPr>
        <w:numPr>
          <w:ilvl w:val="0"/>
          <w:numId w:val="1002"/>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Conociendo esto se puede aproximar el IC mediante la funcion t.test, la cual tiene la siguiente estructura, con los siguientes parámetros:</w:t>
      </w:r>
    </w:p>
    <w:p>
      <w:pPr>
        <w:numPr>
          <w:ilvl w:val="0"/>
          <w:numId w:val="1003"/>
        </w:numPr>
        <w:pStyle w:val="Compact"/>
      </w:pPr>
      <w:r>
        <w:rPr>
          <w:b/>
        </w:rPr>
        <w:t xml:space="preserve">x:</w:t>
      </w:r>
      <w:r>
        <w:t xml:space="preserve"> </w:t>
      </w:r>
      <w:r>
        <w:t xml:space="preserve">muestra</w:t>
      </w:r>
    </w:p>
    <w:p>
      <w:pPr>
        <w:numPr>
          <w:ilvl w:val="0"/>
          <w:numId w:val="1003"/>
        </w:numPr>
        <w:pStyle w:val="Compact"/>
      </w:pPr>
      <w:r>
        <w:rPr>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 aunque comparándolo con el IC de la distribución Z,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t>=</m:t>
          </m:r>
          <m:f>
            <m:fPr>
              <m:type m:val="bar"/>
            </m:fPr>
            <m:num>
              <m:r>
                <m:t>x</m:t>
              </m:r>
            </m:num>
            <m:den>
              <m:r>
                <m:t>n</m:t>
              </m:r>
            </m:den>
          </m:f>
          <m:r>
            <m:t>=</m:t>
          </m:r>
          <m:f>
            <m:fPr>
              <m:type m:val="bar"/>
            </m:fPr>
            <m:num>
              <m:r>
                <m:t>4437</m:t>
              </m:r>
            </m:num>
            <m:den>
              <m:r>
                <m:t>35342</m:t>
              </m:r>
            </m:den>
          </m:f>
          <m:r>
            <m:t>=</m:t>
          </m:r>
          <m:r>
            <m:t>0.1255446777</m:t>
          </m:r>
        </m:oMath>
      </m:oMathPara>
    </w:p>
    <w:p>
      <w:pPr>
        <w:pStyle w:val="FirstParagraph"/>
      </w:pPr>
      <m:oMathPara>
        <m:oMathParaPr>
          <m:jc m:val="center"/>
        </m:oMathParaPr>
        <m:oMath>
          <m:r>
            <m:t>n</m:t>
          </m:r>
          <m:r>
            <m:t>p</m:t>
          </m:r>
          <m:r>
            <m:t>=</m:t>
          </m:r>
          <m:r>
            <m:t>35342</m:t>
          </m:r>
          <m:r>
            <m:t>*</m:t>
          </m:r>
          <m:r>
            <m:t>0.1255446777</m:t>
          </m:r>
          <m:r>
            <m:t>=</m:t>
          </m:r>
          <m:r>
            <m:t>4437</m:t>
          </m:r>
        </m:oMath>
      </m:oMathPara>
    </w:p>
    <w:p>
      <w:pPr>
        <w:pStyle w:val="FirstParagraph"/>
      </w:pPr>
      <m:oMathPara>
        <m:oMathParaPr>
          <m:jc m:val="center"/>
        </m:oMathParaPr>
        <m:oMath>
          <m:r>
            <m:t>q</m:t>
          </m:r>
          <m:r>
            <m:t>=</m:t>
          </m:r>
          <m:r>
            <m:t>1</m:t>
          </m:r>
          <m:r>
            <m:t>−</m:t>
          </m:r>
          <m:r>
            <m:t>p</m:t>
          </m:r>
          <m:r>
            <m:t>=</m:t>
          </m:r>
          <m:r>
            <m:t>1</m:t>
          </m:r>
          <m:r>
            <m:t>−</m:t>
          </m:r>
          <m:r>
            <m:t>0.1255446777</m:t>
          </m:r>
          <m:r>
            <m:t>=</m:t>
          </m:r>
          <m:r>
            <m:t>0.8744553223</m:t>
          </m:r>
        </m:oMath>
      </m:oMathPara>
    </w:p>
    <w:p>
      <w:pPr>
        <w:pStyle w:val="FirstParagraph"/>
      </w:pPr>
      <m:oMathPara>
        <m:oMathParaPr>
          <m:jc m:val="center"/>
        </m:oMathParaPr>
        <m:oMath>
          <m:r>
            <m:t>n</m:t>
          </m:r>
          <m:r>
            <m:t>q</m:t>
          </m:r>
          <m:r>
            <m:t>=</m:t>
          </m:r>
          <m:r>
            <m:t>35342</m:t>
          </m:r>
          <m:r>
            <m:t>*</m:t>
          </m:r>
          <m:r>
            <m:t>0.8744553223</m:t>
          </m:r>
          <m: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rPr>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cual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 población:</w:t>
      </w:r>
    </w:p>
    <w:p>
      <w:pPr>
        <w:pStyle w:val="BodyText"/>
      </w:pPr>
      <m:oMathPara>
        <m:oMathParaPr>
          <m:jc m:val="center"/>
        </m:oMathParaPr>
        <m:oMath>
          <m:sSub>
            <m:e>
              <m:r>
                <m:t>p</m:t>
              </m:r>
            </m:e>
            <m:sub>
              <m:r>
                <m:t>1</m:t>
              </m:r>
            </m:sub>
          </m:sSub>
          <m:r>
            <m:t>=</m:t>
          </m:r>
          <m:f>
            <m:fPr>
              <m:type m:val="bar"/>
            </m:fPr>
            <m:num>
              <m:sSub>
                <m:e>
                  <m:r>
                    <m:t>x</m:t>
                  </m:r>
                </m:e>
                <m:sub>
                  <m:r>
                    <m:t>1</m:t>
                  </m:r>
                </m:sub>
              </m:sSub>
            </m:num>
            <m:den>
              <m:sSub>
                <m:e>
                  <m:r>
                    <m:t>n</m:t>
                  </m:r>
                </m:e>
                <m:sub>
                  <m:r>
                    <m:t>1</m:t>
                  </m:r>
                </m:sub>
              </m:sSub>
            </m:den>
          </m:f>
          <m:r>
            <m:t>=</m:t>
          </m:r>
          <m:f>
            <m:fPr>
              <m:type m:val="bar"/>
            </m:fPr>
            <m:num>
              <m:r>
                <m:t>4437</m:t>
              </m:r>
            </m:num>
            <m:den>
              <m:r>
                <m:t>35342</m:t>
              </m:r>
            </m:den>
          </m:f>
          <m:r>
            <m:t>=</m:t>
          </m:r>
          <m:r>
            <m:t>0.1255446777</m:t>
          </m:r>
        </m:oMath>
      </m:oMathPara>
    </w:p>
    <w:p>
      <w:pPr>
        <w:pStyle w:val="FirstParagraph"/>
      </w:pPr>
      <m:oMathPara>
        <m:oMathParaPr>
          <m:jc m:val="center"/>
        </m:oMathParaPr>
        <m:oMath>
          <m:sSub>
            <m:e>
              <m:r>
                <m:t>n</m:t>
              </m:r>
            </m:e>
            <m:sub>
              <m:r>
                <m:t>1</m:t>
              </m:r>
            </m:sub>
          </m:sSub>
          <m:sSub>
            <m:e>
              <m:r>
                <m:t>p</m:t>
              </m:r>
            </m:e>
            <m:sub>
              <m:r>
                <m:t>1</m:t>
              </m:r>
            </m:sub>
          </m:sSub>
          <m:r>
            <m:t>=</m:t>
          </m:r>
          <m:r>
            <m:t>35342</m:t>
          </m:r>
          <m:r>
            <m:t>*</m:t>
          </m:r>
          <m:r>
            <m:t>0.1255446777</m:t>
          </m:r>
          <m:r>
            <m:t>=</m:t>
          </m:r>
          <m:r>
            <m:t>4437</m:t>
          </m:r>
        </m:oMath>
      </m:oMathPara>
    </w:p>
    <w:p>
      <w:pPr>
        <w:pStyle w:val="FirstParagraph"/>
      </w:pPr>
      <m:oMathPara>
        <m:oMathParaPr>
          <m:jc m:val="center"/>
        </m:oMathParaPr>
        <m:oMath>
          <m:sSub>
            <m:e>
              <m:r>
                <m:t>q</m:t>
              </m:r>
            </m:e>
            <m:sub>
              <m:r>
                <m:t>1</m:t>
              </m:r>
            </m:sub>
          </m:sSub>
          <m:r>
            <m:t>=</m:t>
          </m:r>
          <m:r>
            <m:t>1</m:t>
          </m:r>
          <m:r>
            <m:t>−</m:t>
          </m:r>
          <m:sSub>
            <m:e>
              <m:r>
                <m:t>p</m:t>
              </m:r>
            </m:e>
            <m:sub>
              <m:r>
                <m:t>1</m:t>
              </m:r>
            </m:sub>
          </m:sSub>
          <m:r>
            <m:t>=</m:t>
          </m:r>
          <m:r>
            <m:t>1</m:t>
          </m:r>
          <m:r>
            <m:t>−</m:t>
          </m:r>
          <m:r>
            <m:t>0.1255446777</m:t>
          </m:r>
          <m:r>
            <m:t>=</m:t>
          </m:r>
          <m:r>
            <m:t>0.8744553223</m:t>
          </m:r>
        </m:oMath>
      </m:oMathPara>
    </w:p>
    <w:p>
      <w:pPr>
        <w:pStyle w:val="FirstParagraph"/>
      </w:pPr>
      <m:oMathPara>
        <m:oMathParaPr>
          <m:jc m:val="center"/>
        </m:oMathParaPr>
        <m:oMath>
          <m:sSub>
            <m:e>
              <m:r>
                <m:t>n</m:t>
              </m:r>
            </m:e>
            <m:sub>
              <m:r>
                <m:t>1</m:t>
              </m:r>
            </m:sub>
          </m:sSub>
          <m:sSub>
            <m:e>
              <m:r>
                <m:t>q</m:t>
              </m:r>
            </m:e>
            <m:sub>
              <m:r>
                <m:t>1</m:t>
              </m:r>
            </m:sub>
          </m:sSub>
          <m:r>
            <m:t>=</m:t>
          </m:r>
          <m:r>
            <m:t>35342</m:t>
          </m:r>
          <m:r>
            <m:t>*</m:t>
          </m:r>
          <m:r>
            <m:t>0.8744553223</m:t>
          </m:r>
          <m: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t>=</m:t>
          </m:r>
          <m:f>
            <m:fPr>
              <m:type m:val="bar"/>
            </m:fPr>
            <m:num>
              <m:sSub>
                <m:e>
                  <m:r>
                    <m:t>x</m:t>
                  </m:r>
                </m:e>
                <m:sub>
                  <m:r>
                    <m:t>2</m:t>
                  </m:r>
                </m:sub>
              </m:sSub>
            </m:num>
            <m:den>
              <m:sSub>
                <m:e>
                  <m:r>
                    <m:t>n</m:t>
                  </m:r>
                </m:e>
                <m:sub>
                  <m:r>
                    <m:t>2</m:t>
                  </m:r>
                </m:sub>
              </m:sSub>
            </m:den>
          </m:f>
          <m:r>
            <m:t>=</m:t>
          </m:r>
          <m:f>
            <m:fPr>
              <m:type m:val="bar"/>
            </m:fPr>
            <m:num>
              <m:r>
                <m:t>825</m:t>
              </m:r>
            </m:num>
            <m:den>
              <m:r>
                <m:t>6516</m:t>
              </m:r>
            </m:den>
          </m:f>
          <m:r>
            <m:t>=</m:t>
          </m:r>
          <m:r>
            <m:t>0.126611418</m:t>
          </m:r>
        </m:oMath>
      </m:oMathPara>
    </w:p>
    <w:p>
      <w:pPr>
        <w:pStyle w:val="FirstParagraph"/>
      </w:pPr>
      <m:oMathPara>
        <m:oMathParaPr>
          <m:jc m:val="center"/>
        </m:oMathParaPr>
        <m:oMath>
          <m:sSub>
            <m:e>
              <m:r>
                <m:t>n</m:t>
              </m:r>
            </m:e>
            <m:sub>
              <m:r>
                <m:t>2</m:t>
              </m:r>
            </m:sub>
          </m:sSub>
          <m:sSub>
            <m:e>
              <m:r>
                <m:t>p</m:t>
              </m:r>
            </m:e>
            <m:sub>
              <m:r>
                <m:t>2</m:t>
              </m:r>
            </m:sub>
          </m:sSub>
          <m:r>
            <m:t>=</m:t>
          </m:r>
          <m:r>
            <m:t>6516</m:t>
          </m:r>
          <m:r>
            <m:t>*</m:t>
          </m:r>
          <m:r>
            <m:t>0.126611418</m:t>
          </m:r>
          <m:r>
            <m:t>=</m:t>
          </m:r>
          <m:r>
            <m:t>825</m:t>
          </m:r>
        </m:oMath>
      </m:oMathPara>
    </w:p>
    <w:p>
      <w:pPr>
        <w:pStyle w:val="FirstParagraph"/>
      </w:pPr>
      <m:oMathPara>
        <m:oMathParaPr>
          <m:jc m:val="center"/>
        </m:oMathParaPr>
        <m:oMath>
          <m:sSub>
            <m:e>
              <m:r>
                <m:t>q</m:t>
              </m:r>
            </m:e>
            <m:sub>
              <m:r>
                <m:t>2</m:t>
              </m:r>
            </m:sub>
          </m:sSub>
          <m:r>
            <m:t>=</m:t>
          </m:r>
          <m:r>
            <m:t>1</m:t>
          </m:r>
          <m:r>
            <m:t>−</m:t>
          </m:r>
          <m:sSub>
            <m:e>
              <m:r>
                <m:t>p</m:t>
              </m:r>
            </m:e>
            <m:sub>
              <m:r>
                <m:t>2</m:t>
              </m:r>
            </m:sub>
          </m:sSub>
          <m:r>
            <m:t>=</m:t>
          </m:r>
          <m:r>
            <m:t>1</m:t>
          </m:r>
          <m:r>
            <m:t>−</m:t>
          </m:r>
          <m:r>
            <m:t>0.126611418</m:t>
          </m:r>
          <m:r>
            <m:t>=</m:t>
          </m:r>
          <m:r>
            <m:t>0.873388582</m:t>
          </m:r>
        </m:oMath>
      </m:oMathPara>
    </w:p>
    <w:p>
      <w:pPr>
        <w:pStyle w:val="FirstParagraph"/>
      </w:pPr>
      <m:oMathPara>
        <m:oMathParaPr>
          <m:jc m:val="center"/>
        </m:oMathParaPr>
        <m:oMath>
          <m:sSub>
            <m:e>
              <m:r>
                <m:t>n</m:t>
              </m:r>
            </m:e>
            <m:sub>
              <m:r>
                <m:t>2</m:t>
              </m:r>
            </m:sub>
          </m:sSub>
          <m:sSub>
            <m:e>
              <m:r>
                <m:t>q</m:t>
              </m:r>
            </m:e>
            <m:sub>
              <m:r>
                <m:t>2</m:t>
              </m:r>
            </m:sub>
          </m:sSub>
          <m:r>
            <m:t>=</m:t>
          </m:r>
          <m:r>
            <m:t>6516</m:t>
          </m:r>
          <m:r>
            <m:t>*</m:t>
          </m:r>
          <m:r>
            <m:t>0.873388582</m:t>
          </m:r>
          <m: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
        </w:rPr>
        <w:t xml:space="preserve">x:</w:t>
      </w:r>
      <w:r>
        <w:t xml:space="preserve"> </w:t>
      </w:r>
      <w:r>
        <w:t xml:space="preserve">vector con el conteo de éxitos de la muestra</w:t>
      </w:r>
    </w:p>
    <w:p>
      <w:pPr>
        <w:numPr>
          <w:ilvl w:val="0"/>
          <w:numId w:val="1005"/>
        </w:numPr>
        <w:pStyle w:val="Compact"/>
      </w:pPr>
      <w:r>
        <w:rPr>
          <w:b/>
        </w:rPr>
        <w:t xml:space="preserve">n:</w:t>
      </w:r>
      <w:r>
        <w:t xml:space="preserve"> </w:t>
      </w:r>
      <w:r>
        <w:t xml:space="preserve">vector con el número de ensayos la muestra</w:t>
      </w:r>
    </w:p>
    <w:p>
      <w:pPr>
        <w:numPr>
          <w:ilvl w:val="0"/>
          <w:numId w:val="1005"/>
        </w:numPr>
        <w:pStyle w:val="Compact"/>
      </w:pPr>
      <w:r>
        <w:rPr>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
        </w:rPr>
        <w:t xml:space="preserve">x:</w:t>
      </w:r>
      <w:r>
        <w:t xml:space="preserve"> </w:t>
      </w:r>
      <w:r>
        <w:t xml:space="preserve">vector numérico que representa la primera muestra</w:t>
      </w:r>
    </w:p>
    <w:p>
      <w:pPr>
        <w:numPr>
          <w:ilvl w:val="0"/>
          <w:numId w:val="1006"/>
        </w:numPr>
        <w:pStyle w:val="Compact"/>
      </w:pPr>
      <w:r>
        <w:rPr>
          <w:b/>
        </w:rPr>
        <w:t xml:space="preserve">y:</w:t>
      </w:r>
      <w:r>
        <w:t xml:space="preserve"> </w:t>
      </w:r>
      <w:r>
        <w:t xml:space="preserve">vector numérico que representa la segunda muestra (opcional)</w:t>
      </w:r>
    </w:p>
    <w:p>
      <w:pPr>
        <w:numPr>
          <w:ilvl w:val="0"/>
          <w:numId w:val="1006"/>
        </w:numPr>
        <w:pStyle w:val="Compact"/>
      </w:pPr>
      <w:r>
        <w:rPr>
          <w:b/>
        </w:rPr>
        <w:t xml:space="preserve">sigma.x:</w:t>
      </w:r>
      <w:r>
        <w:t xml:space="preserve"> </w:t>
      </w:r>
      <w:r>
        <w:t xml:space="preserve">desviación estándar de x (opcional)</w:t>
      </w:r>
    </w:p>
    <w:p>
      <w:pPr>
        <w:numPr>
          <w:ilvl w:val="0"/>
          <w:numId w:val="1006"/>
        </w:numPr>
        <w:pStyle w:val="Compact"/>
      </w:pPr>
      <w:r>
        <w:rPr>
          <w:b/>
        </w:rPr>
        <w:t xml:space="preserve">sigma.y:</w:t>
      </w:r>
      <w:r>
        <w:t xml:space="preserve"> </w:t>
      </w:r>
      <w:r>
        <w:t xml:space="preserve">desviación estándar de y (opcional)</w:t>
      </w:r>
    </w:p>
    <w:p>
      <w:pPr>
        <w:numPr>
          <w:ilvl w:val="0"/>
          <w:numId w:val="1006"/>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hay una mayor cantidad de diamantes con colores de baja calidad que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las varianzas se asumen iguales</w:t>
      </w:r>
    </w:p>
    <w:p>
      <w:pPr>
        <w:pStyle w:val="FirstParagraph"/>
      </w:pPr>
      <w:r>
        <w:rPr>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
        </w:rPr>
        <w:t xml:space="preserve">Primer parametro:</w:t>
      </w:r>
      <w:r>
        <w:t xml:space="preserve"> </w:t>
      </w:r>
      <w:r>
        <w:t xml:space="preserve">primera muestra</w:t>
      </w:r>
    </w:p>
    <w:p>
      <w:pPr>
        <w:numPr>
          <w:ilvl w:val="0"/>
          <w:numId w:val="1009"/>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 el IC de varianza:</w:t>
      </w:r>
      <w:r>
        <w:t xml:space="preserve"> </w:t>
      </w:r>
      <w:r>
        <w:t xml:space="preserve">]0.222029, 0.2273925[ , como podemos ver el intervalo es muy pequeño y esto se debe a que se usaron una gran cantidad de datos para realizar el cálculo, dando un resultado muy preciso.</w:t>
      </w:r>
    </w:p>
    <w:bookmarkEnd w:id="34"/>
    <w:bookmarkStart w:id="35"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Claridad</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
        </w:rPr>
        <w:t xml:space="preserve">Primer parametro:</w:t>
      </w:r>
      <w:r>
        <w:t xml:space="preserve"> </w:t>
      </w:r>
      <w:r>
        <w:t xml:space="preserve">primera muestra</w:t>
      </w:r>
    </w:p>
    <w:p>
      <w:pPr>
        <w:numPr>
          <w:ilvl w:val="0"/>
          <w:numId w:val="1011"/>
        </w:numPr>
        <w:pStyle w:val="Compact"/>
      </w:pPr>
      <w:r>
        <w:rPr>
          <w:b/>
        </w:rPr>
        <w:t xml:space="preserve">Segundo parametro:</w:t>
      </w:r>
      <w:r>
        <w:t xml:space="preserve"> </w:t>
      </w:r>
      <w:r>
        <w:t xml:space="preserve">segunda muestra</w:t>
      </w:r>
    </w:p>
    <w:p>
      <w:pPr>
        <w:numPr>
          <w:ilvl w:val="0"/>
          <w:numId w:val="1011"/>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el la varianza de la segunda población es mayor ya que ambos valores son menores que 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1</dc:title>
  <dc:creator>Sebastián Rojas Vargas; Francisco Soto Quesada; Jairo Pacheco Campos; Jason Barrantes Rodríguez</dc:creator>
  <cp:keywords/>
  <dcterms:created xsi:type="dcterms:W3CDTF">2021-04-27T18:15:28Z</dcterms:created>
  <dcterms:modified xsi:type="dcterms:W3CDTF">2021-04-27T18:15:28Z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