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tibble[,10]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distribución muestral de medias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la media de precios del dataset diamante se encuentra en el intervalo ]3899.1327134, 3966.4667305[ con un 95% de confianza,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la media de precios del dataset de diamantes se encuentra en el intervalo ]2250.6105535, 7008.5894465[ con un 95% de confianza.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la distribución muestral de medias sigue una distribución normal y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parámetro: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del 95%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parámetro:</w:t>
      </w:r>
      <w:r>
        <w:t xml:space="preserve"> </w:t>
      </w:r>
      <w:r>
        <w:t xml:space="preserve">primera muestra</w:t>
      </w:r>
    </w:p>
    <w:p>
      <w:pPr>
        <w:numPr>
          <w:ilvl w:val="0"/>
          <w:numId w:val="1011"/>
        </w:numPr>
        <w:pStyle w:val="Compact"/>
      </w:pPr>
      <w:r>
        <w:rPr>
          <w:bCs/>
          <w:b/>
        </w:rPr>
        <w:t xml:space="preserve">Segundo parámetro: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debido a las condiciones del teorema del límite central, se puede asumir que la población sigue una distribución normal y que se puede aproximar σ₁ mediante s₁.</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p</m:t>
            </m:r>
          </m:sub>
        </m:sSub>
        <m:r>
          <m:rPr>
            <m:sty m:val="p"/>
          </m:rPr>
          <m:t>=</m:t>
        </m:r>
        <m:r>
          <m:t>4000</m:t>
        </m:r>
      </m:oMath>
    </w:p>
    <w:p>
      <w:pPr>
        <w:numPr>
          <w:ilvl w:val="0"/>
          <w:numId w:val="1013"/>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Cs/>
          <w:b/>
        </w:rPr>
        <w:t xml:space="preserve">x:</w:t>
      </w:r>
      <w:r>
        <w:t xml:space="preserve"> </w:t>
      </w:r>
      <w:r>
        <w:t xml:space="preserve">vector numérico que representa la primera muestra</w:t>
      </w:r>
    </w:p>
    <w:p>
      <w:pPr>
        <w:numPr>
          <w:ilvl w:val="0"/>
          <w:numId w:val="1015"/>
        </w:numPr>
        <w:pStyle w:val="Compact"/>
      </w:pPr>
      <w:r>
        <w:rPr>
          <w:bCs/>
          <w:b/>
        </w:rPr>
        <w:t xml:space="preserve">sigma2:</w:t>
      </w:r>
      <w:r>
        <w:t xml:space="preserve"> </w:t>
      </w:r>
      <w:r>
        <w:t xml:space="preserve">varianza de x (opcional)</w:t>
      </w:r>
    </w:p>
    <w:p>
      <w:pPr>
        <w:numPr>
          <w:ilvl w:val="0"/>
          <w:numId w:val="1015"/>
        </w:numPr>
        <w:pStyle w:val="Compact"/>
      </w:pPr>
      <w:r>
        <w:rPr>
          <w:bCs/>
          <w:b/>
        </w:rPr>
        <w:t xml:space="preserve">mu:</w:t>
      </w:r>
      <w:r>
        <w:t xml:space="preserve"> </w:t>
      </w:r>
      <w:r>
        <w:t xml:space="preserve">el valor de la media o la diferencia de medias en la hipótesis nula</w:t>
      </w:r>
    </w:p>
    <w:p>
      <w:pPr>
        <w:numPr>
          <w:ilvl w:val="0"/>
          <w:numId w:val="1015"/>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rPr>
                  <m:sty m:val="p"/>
                </m:rPr>
                <m:t>=</m:t>
              </m:r>
              <m:r>
                <m:t>4000</m:t>
              </m:r>
            </m:oMath>
          </w:p>
        </w:tc>
      </w:tr>
      <w:tr>
        <w:tc>
          <w:p>
            <w:pPr>
              <w:pStyle w:val="Compact"/>
              <w:jc w:val="left"/>
            </w:pPr>
            <w:r>
              <w:t xml:space="preserve">Región de aceptación</w:t>
            </w:r>
          </w:p>
        </w:tc>
        <w:tc>
          <w:p>
            <w:pPr>
              <w:pStyle w:val="Compact"/>
              <w:jc w:val="left"/>
            </w:pPr>
            <w:r>
              <w:t xml:space="preserve">]3904.545,</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sSub>
          <m:e>
            <m:r>
              <m:t>μ</m:t>
            </m:r>
          </m:e>
          <m:sub>
            <m:r>
              <m:t>p</m:t>
            </m:r>
          </m:sub>
        </m:sSub>
        <m:r>
          <m:rPr>
            <m:sty m:val="p"/>
          </m:rPr>
          <m:t>=</m:t>
        </m:r>
        <m:r>
          <m:t>4000</m:t>
        </m:r>
      </m:oMath>
    </w:p>
    <w:p>
      <w:pPr>
        <w:numPr>
          <w:ilvl w:val="0"/>
          <w:numId w:val="1017"/>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Cs/>
          <w:b/>
        </w:rPr>
        <w:t xml:space="preserve">x:</w:t>
      </w:r>
      <w:r>
        <w:t xml:space="preserve"> </w:t>
      </w:r>
      <w:r>
        <w:t xml:space="preserve">vector numérico que representa la primera muestra</w:t>
      </w:r>
    </w:p>
    <w:p>
      <w:pPr>
        <w:numPr>
          <w:ilvl w:val="0"/>
          <w:numId w:val="1018"/>
        </w:numPr>
        <w:pStyle w:val="Compact"/>
      </w:pPr>
      <w:r>
        <w:rPr>
          <w:bCs/>
          <w:b/>
        </w:rPr>
        <w:t xml:space="preserve">mu:</w:t>
      </w:r>
      <w:r>
        <w:t xml:space="preserve"> </w:t>
      </w:r>
      <w:r>
        <w:t xml:space="preserve">el valor de la media o la diferencia de medias en la hipótesis nula</w:t>
      </w:r>
    </w:p>
    <w:p>
      <w:pPr>
        <w:numPr>
          <w:ilvl w:val="0"/>
          <w:numId w:val="1018"/>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t>0.55392</m:t>
              </m:r>
            </m:oMath>
          </w:p>
        </w:tc>
      </w:tr>
      <w:tr>
        <w:tc>
          <w:p>
            <w:pPr>
              <w:pStyle w:val="Compact"/>
              <w:jc w:val="left"/>
            </w:pPr>
            <w:r>
              <w:t xml:space="preserve">Grados de libertad</w:t>
            </w:r>
          </w:p>
        </w:tc>
        <w:tc>
          <w:p>
            <w:pPr>
              <w:pStyle w:val="Compact"/>
              <w:jc w:val="left"/>
            </w:pPr>
            <m:oMath>
              <m:r>
                <m:t>v</m:t>
              </m:r>
              <m:r>
                <m:rPr>
                  <m:sty m:val="p"/>
                </m:rP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rPr>
                  <m:sty m:val="p"/>
                </m:rPr>
                <m:t>=</m:t>
              </m:r>
              <m:r>
                <m:t>4000</m:t>
              </m:r>
            </m:oMath>
          </w:p>
        </w:tc>
      </w:tr>
      <w:tr>
        <w:tc>
          <w:p>
            <w:pPr>
              <w:pStyle w:val="Compact"/>
              <w:jc w:val="left"/>
            </w:pPr>
            <w:r>
              <w:t xml:space="preserve">Región de aceptación</w:t>
            </w:r>
          </w:p>
        </w:tc>
        <w:tc>
          <w:p>
            <w:pPr>
              <w:pStyle w:val="Compact"/>
              <w:jc w:val="left"/>
            </w:pPr>
            <w:r>
              <w:t xml:space="preserve">]2664.219,</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rPr>
            <m:sty m:val="p"/>
          </m:rPr>
          <m:t>:</m:t>
        </m:r>
        <m:r>
          <m:t>p</m:t>
        </m:r>
        <m:r>
          <m:rPr>
            <m:sty m:val="p"/>
          </m:rPr>
          <m:t>=</m:t>
        </m:r>
        <m:r>
          <m:t>0.12</m:t>
        </m:r>
        <m:r>
          <m:rPr>
            <m:sty m:val="p"/>
          </m:rPr>
          <m:t>(</m:t>
        </m:r>
        <m:r>
          <m:rPr>
            <m:sty m:val="p"/>
          </m:rPr>
          <m:t>≥</m:t>
        </m:r>
        <m:r>
          <m:rPr>
            <m:sty m:val="p"/>
          </m:rPr>
          <m:t>)</m:t>
        </m:r>
      </m:oMath>
    </w:p>
    <w:p>
      <w:pPr>
        <w:pStyle w:val="BodyText"/>
      </w:pPr>
      <m:oMath>
        <m:sSub>
          <m:e>
            <m:r>
              <m:t>H</m:t>
            </m:r>
          </m:e>
          <m:sub>
            <m:r>
              <m:t>1</m:t>
            </m:r>
          </m:sub>
        </m:sSub>
        <m:r>
          <m:rPr>
            <m:sty m:val="p"/>
          </m:rPr>
          <m:t>:</m:t>
        </m:r>
        <m:r>
          <m:t>p</m:t>
        </m:r>
        <m:r>
          <m:rPr>
            <m:sty m:val="p"/>
          </m:rP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Cs/>
          <w:b/>
        </w:rPr>
        <w:t xml:space="preserve">n</w:t>
      </w:r>
      <w:r>
        <w:t xml:space="preserve"> </w:t>
      </w:r>
      <w:r>
        <w:t xml:space="preserve">es el tamaño de la muestra.</w:t>
      </w:r>
    </w:p>
    <w:p>
      <w:pPr>
        <w:numPr>
          <w:ilvl w:val="0"/>
          <w:numId w:val="1019"/>
        </w:numPr>
        <w:pStyle w:val="Compact"/>
      </w:pPr>
      <w:r>
        <w:rPr>
          <w:bCs/>
          <w:b/>
        </w:rPr>
        <w:t xml:space="preserve">x</w:t>
      </w:r>
      <w:r>
        <w:t xml:space="preserve"> </w:t>
      </w:r>
      <w:r>
        <w:t xml:space="preserve">es el número de éxitos de la muestra.</w:t>
      </w:r>
    </w:p>
    <w:p>
      <w:pPr>
        <w:numPr>
          <w:ilvl w:val="0"/>
          <w:numId w:val="1019"/>
        </w:numPr>
        <w:pStyle w:val="Compact"/>
      </w:pPr>
      <w:r>
        <w:rPr>
          <w:bCs/>
          <w:b/>
        </w:rPr>
        <w:t xml:space="preserve">p</w:t>
      </w:r>
      <w:r>
        <w:t xml:space="preserve"> </w:t>
      </w:r>
      <w:r>
        <w:t xml:space="preserve">es la proporción poblacional que contrastamos.</w:t>
      </w:r>
    </w:p>
    <w:p>
      <w:pPr>
        <w:numPr>
          <w:ilvl w:val="0"/>
          <w:numId w:val="1019"/>
        </w:numPr>
        <w:pStyle w:val="Compact"/>
      </w:pPr>
      <w:r>
        <w:rPr>
          <w:bCs/>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Cs/>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válida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Cs/>
          <w:b/>
        </w:rPr>
        <w:t xml:space="preserve">n</w:t>
      </w:r>
      <w:r>
        <w:t xml:space="preserve"> </w:t>
      </w:r>
      <w:r>
        <w:t xml:space="preserve">es un vector de dos entradas de los respectivos tamaños de las muestras.</w:t>
      </w:r>
    </w:p>
    <w:p>
      <w:pPr>
        <w:numPr>
          <w:ilvl w:val="0"/>
          <w:numId w:val="1020"/>
        </w:numPr>
        <w:pStyle w:val="Compact"/>
      </w:pPr>
      <w:r>
        <w:rPr>
          <w:bCs/>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rPr>
            <m:sty m:val="p"/>
          </m:rPr>
          <m:t>:</m:t>
        </m:r>
        <m:sSub>
          <m:e>
            <m:r>
              <m:t>p</m:t>
            </m:r>
          </m:e>
          <m:sub>
            <m:r>
              <m:t>a</m:t>
            </m:r>
          </m:sub>
        </m:sSub>
        <m:r>
          <m:rPr>
            <m:sty m:val="p"/>
          </m:rPr>
          <m:t>−</m:t>
        </m:r>
        <m:sSub>
          <m:e>
            <m:r>
              <m:t>p</m:t>
            </m:r>
          </m:e>
          <m:sub>
            <m:r>
              <m:t>b</m:t>
            </m:r>
          </m:sub>
        </m:sSub>
        <m:r>
          <m:rPr>
            <m:sty m:val="p"/>
          </m:rPr>
          <m:t>=</m:t>
        </m:r>
        <m:r>
          <m:t>0</m:t>
        </m:r>
      </m:oMath>
    </w:p>
    <w:p>
      <w:pPr>
        <w:pStyle w:val="BodyText"/>
      </w:pPr>
      <m:oMath>
        <m:sSub>
          <m:e>
            <m:r>
              <m:t>H</m:t>
            </m:r>
          </m:e>
          <m:sub>
            <m:r>
              <m:t>1</m:t>
            </m:r>
          </m:sub>
        </m:sSub>
        <m:r>
          <m:rPr>
            <m:sty m:val="p"/>
          </m:rPr>
          <m:t>:</m:t>
        </m:r>
        <m:sSub>
          <m:e>
            <m:r>
              <m:t>p</m:t>
            </m:r>
          </m:e>
          <m:sub>
            <m:r>
              <m:t>a</m:t>
            </m:r>
          </m:sub>
        </m:sSub>
        <m:r>
          <m:rPr>
            <m:sty m:val="p"/>
          </m:rPr>
          <m:t>−</m:t>
        </m:r>
        <m:sSub>
          <m:e>
            <m:r>
              <m:t>p</m:t>
            </m:r>
          </m:e>
          <m:sub>
            <m:r>
              <m:t>b</m:t>
            </m:r>
          </m:sub>
        </m:sSub>
        <m:r>
          <m:rPr>
            <m:sty m:val="p"/>
          </m:rP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w:t>
            </w:r>
            <w:r>
              <w:t xml:space="preserve"> </w:t>
            </w:r>
            <m:oMath>
              <m:acc>
                <m:accPr>
                  <m:chr m:val="̃"/>
                </m:accPr>
                <m:e>
                  <m:sSub>
                    <m:e>
                      <m:r>
                        <m:t>p</m:t>
                      </m:r>
                    </m:e>
                    <m:sub>
                      <m:r>
                        <m:t>2</m:t>
                      </m:r>
                    </m:sub>
                  </m:sSub>
                </m:e>
              </m:acc>
            </m:oMath>
            <w:r>
              <w:t xml:space="preserve"> </w:t>
            </w:r>
            <w:r>
              <w:t xml:space="preserve">= 0</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]-1, -0.009939703[</w:t>
            </w:r>
            <w:r>
              <w:t xml:space="preserve"> </w:t>
            </w:r>
            <m:oMath>
              <m:r>
                <m:rPr>
                  <m:sty m:val="p"/>
                </m:rPr>
                <m:t>∪</m:t>
              </m:r>
            </m:oMath>
            <w:r>
              <w:t xml:space="preserve"> </w:t>
            </w:r>
            <w:r>
              <w:t xml:space="preserve">]0.007806222,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2"/>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Cs/>
          <w:b/>
        </w:rPr>
        <w:t xml:space="preserve">x:</w:t>
      </w:r>
      <w:r>
        <w:t xml:space="preserve"> </w:t>
      </w:r>
      <w:r>
        <w:t xml:space="preserve">vector numérico que representa la primera muestra</w:t>
      </w:r>
    </w:p>
    <w:p>
      <w:pPr>
        <w:numPr>
          <w:ilvl w:val="0"/>
          <w:numId w:val="1023"/>
        </w:numPr>
        <w:pStyle w:val="Compact"/>
      </w:pPr>
      <w:r>
        <w:rPr>
          <w:bCs/>
          <w:b/>
        </w:rPr>
        <w:t xml:space="preserve">y:</w:t>
      </w:r>
      <w:r>
        <w:t xml:space="preserve"> </w:t>
      </w:r>
      <w:r>
        <w:t xml:space="preserve">vector numérico que representa la segunda muestra (opcional)</w:t>
      </w:r>
    </w:p>
    <w:p>
      <w:pPr>
        <w:numPr>
          <w:ilvl w:val="0"/>
          <w:numId w:val="1023"/>
        </w:numPr>
        <w:pStyle w:val="Compact"/>
      </w:pPr>
      <w:r>
        <w:rPr>
          <w:bCs/>
          <w:b/>
        </w:rPr>
        <w:t xml:space="preserve">sigma.x:</w:t>
      </w:r>
      <w:r>
        <w:t xml:space="preserve"> </w:t>
      </w:r>
      <w:r>
        <w:t xml:space="preserve">desviación estándar de x (opcional)</w:t>
      </w:r>
    </w:p>
    <w:p>
      <w:pPr>
        <w:numPr>
          <w:ilvl w:val="0"/>
          <w:numId w:val="1023"/>
        </w:numPr>
        <w:pStyle w:val="Compact"/>
      </w:pPr>
      <w:r>
        <w:rPr>
          <w:bCs/>
          <w:b/>
        </w:rPr>
        <w:t xml:space="preserve">sigma.y:</w:t>
      </w:r>
      <w:r>
        <w:t xml:space="preserve"> </w:t>
      </w:r>
      <w:r>
        <w:t xml:space="preserve">desviación estándar de y (opcional)</w:t>
      </w:r>
    </w:p>
    <w:p>
      <w:pPr>
        <w:numPr>
          <w:ilvl w:val="0"/>
          <w:numId w:val="1023"/>
        </w:numPr>
        <w:pStyle w:val="Compact"/>
      </w:pPr>
      <w:r>
        <w:rPr>
          <w:bCs/>
          <w:b/>
        </w:rPr>
        <w:t xml:space="preserve">mu:</w:t>
      </w:r>
      <w:r>
        <w:t xml:space="preserve"> </w:t>
      </w:r>
      <w:r>
        <w:t xml:space="preserve">el valor de la media o la diferencia de medias en la hipótesis nula</w:t>
      </w:r>
    </w:p>
    <w:p>
      <w:pPr>
        <w:numPr>
          <w:ilvl w:val="0"/>
          <w:numId w:val="1023"/>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26"/>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Cs/>
          <w:b/>
        </w:rPr>
        <w:t xml:space="preserve">x:</w:t>
      </w:r>
      <w:r>
        <w:t xml:space="preserve"> </w:t>
      </w:r>
      <w:r>
        <w:t xml:space="preserve">primera muestra</w:t>
      </w:r>
    </w:p>
    <w:p>
      <w:pPr>
        <w:numPr>
          <w:ilvl w:val="0"/>
          <w:numId w:val="1027"/>
        </w:numPr>
        <w:pStyle w:val="Compact"/>
      </w:pPr>
      <w:r>
        <w:rPr>
          <w:bCs/>
          <w:b/>
        </w:rPr>
        <w:t xml:space="preserve">y:</w:t>
      </w:r>
      <w:r>
        <w:t xml:space="preserve"> </w:t>
      </w:r>
      <w:r>
        <w:t xml:space="preserve">segunda muestra (opcional)</w:t>
      </w:r>
    </w:p>
    <w:p>
      <w:pPr>
        <w:numPr>
          <w:ilvl w:val="0"/>
          <w:numId w:val="1027"/>
        </w:numPr>
        <w:pStyle w:val="Compact"/>
      </w:pPr>
      <w:r>
        <w:rPr>
          <w:bCs/>
          <w:b/>
        </w:rPr>
        <w:t xml:space="preserve">alternative:</w:t>
      </w:r>
      <w:r>
        <w:t xml:space="preserve"> </w:t>
      </w:r>
      <w:r>
        <w:t xml:space="preserve">si es de cola derecha, doble cola o cola izquierda (opcional)</w:t>
      </w:r>
    </w:p>
    <w:p>
      <w:pPr>
        <w:numPr>
          <w:ilvl w:val="0"/>
          <w:numId w:val="1027"/>
        </w:numPr>
        <w:pStyle w:val="Compact"/>
      </w:pPr>
      <w:r>
        <w:rPr>
          <w:bCs/>
          <w:b/>
        </w:rPr>
        <w:t xml:space="preserve">null.value:</w:t>
      </w:r>
      <w:r>
        <w:t xml:space="preserve"> </w:t>
      </w:r>
      <w:r>
        <w:t xml:space="preserve">por defecto es 1 considerando que la relación entre las varianzas es 1. (opcional)</w:t>
      </w:r>
    </w:p>
    <w:p>
      <w:pPr>
        <w:numPr>
          <w:ilvl w:val="0"/>
          <w:numId w:val="1027"/>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rPr>
                  <m:sty m:val="p"/>
                </m:rPr>
                <m:t>=</m:t>
              </m:r>
              <m:r>
                <m:t>2.8255</m:t>
              </m:r>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r>
                <m:rPr>
                  <m:sty m:val="p"/>
                </m:rPr>
                <m:t>=</m:t>
              </m:r>
              <m:r>
                <m:t>0</m:t>
              </m:r>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Cs/>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9"/>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Cs/>
          <w:b/>
        </w:rPr>
        <w:t xml:space="preserve">x:</w:t>
      </w:r>
      <w:r>
        <w:t xml:space="preserve"> </w:t>
      </w:r>
      <w:r>
        <w:t xml:space="preserve">vector numérico que representa la primera muestra</w:t>
      </w:r>
    </w:p>
    <w:p>
      <w:pPr>
        <w:numPr>
          <w:ilvl w:val="0"/>
          <w:numId w:val="1030"/>
        </w:numPr>
        <w:pStyle w:val="Compact"/>
      </w:pPr>
      <w:r>
        <w:rPr>
          <w:bCs/>
          <w:b/>
        </w:rPr>
        <w:t xml:space="preserve">y:</w:t>
      </w:r>
      <w:r>
        <w:t xml:space="preserve"> </w:t>
      </w:r>
      <w:r>
        <w:t xml:space="preserve">vector numérico que representa la segunda muestra (opcional)</w:t>
      </w:r>
    </w:p>
    <w:p>
      <w:pPr>
        <w:numPr>
          <w:ilvl w:val="0"/>
          <w:numId w:val="1030"/>
        </w:numPr>
        <w:pStyle w:val="Compact"/>
      </w:pPr>
      <w:r>
        <w:rPr>
          <w:bCs/>
          <w:b/>
        </w:rPr>
        <w:t xml:space="preserve">mu:</w:t>
      </w:r>
      <w:r>
        <w:t xml:space="preserve"> </w:t>
      </w:r>
      <w:r>
        <w:t xml:space="preserve">el valor de la media o la diferencia de medias en la hipótesis nula</w:t>
      </w:r>
    </w:p>
    <w:p>
      <w:pPr>
        <w:numPr>
          <w:ilvl w:val="0"/>
          <w:numId w:val="1030"/>
        </w:numPr>
        <w:pStyle w:val="Compact"/>
      </w:pPr>
      <w:r>
        <w:rPr>
          <w:bCs/>
          <w:b/>
        </w:rPr>
        <w:t xml:space="preserve">alternative:</w:t>
      </w:r>
      <w:r>
        <w:t xml:space="preserve"> </w:t>
      </w:r>
      <w:r>
        <w:t xml:space="preserve">indica si la prueba es de cola izquierda (less), derecha (greater) o de dos colas (two.sided)</w:t>
      </w:r>
    </w:p>
    <w:p>
      <w:pPr>
        <w:numPr>
          <w:ilvl w:val="0"/>
          <w:numId w:val="1030"/>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rPr>
                  <m:sty m:val="p"/>
                </m:rP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Cs/>
          <w:b/>
        </w:rPr>
        <w:t xml:space="preserve">Hipótesis asumidas</w:t>
      </w:r>
    </w:p>
    <w:p>
      <w:pPr>
        <w:pStyle w:val="BodyText"/>
      </w:pPr>
      <w:r>
        <w:t xml:space="preserve">Antes de realizar el cálculo es importante asumir que la muestra sigue una distribución normal</w:t>
      </w:r>
    </w:p>
    <w:p>
      <w:pPr>
        <w:pStyle w:val="BodyText"/>
      </w:pPr>
      <w:r>
        <w:rPr>
          <w:bCs/>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rPr>
            <m:sty m:val="p"/>
          </m:rPr>
          <m:t>:</m:t>
        </m:r>
        <m:r>
          <m:t>σ</m:t>
        </m:r>
        <m:r>
          <m:rPr>
            <m:sty m:val="p"/>
          </m:rPr>
          <m:t>=</m:t>
        </m:r>
        <m:rad>
          <m:radPr>
            <m:degHide m:val="1"/>
          </m:radPr>
          <m:deg/>
          <m:e>
            <m:r>
              <m:t>0.2246867</m:t>
            </m:r>
          </m:e>
        </m:rad>
        <m:r>
          <m:rPr>
            <m:sty m:val="p"/>
          </m:rPr>
          <m:t>=</m:t>
        </m:r>
        <m:r>
          <m:t>0.47401</m:t>
        </m:r>
      </m:oMath>
    </w:p>
    <w:p>
      <w:pPr>
        <w:numPr>
          <w:ilvl w:val="0"/>
          <w:numId w:val="1032"/>
        </w:numPr>
        <w:pStyle w:val="Compact"/>
      </w:pPr>
      <m:oMath>
        <m:sSub>
          <m:e>
            <m:r>
              <m:t>H</m:t>
            </m:r>
          </m:e>
          <m:sub>
            <m:r>
              <m:t>1</m:t>
            </m:r>
          </m:sub>
        </m:sSub>
        <m:r>
          <m:rPr>
            <m:sty m:val="p"/>
          </m:rPr>
          <m:t>:</m:t>
        </m:r>
        <m:r>
          <m:t>σ</m:t>
        </m:r>
        <m:r>
          <m:rPr>
            <m:sty m:val="p"/>
          </m:rP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Cs/>
          <w:b/>
        </w:rPr>
        <w:t xml:space="preserve">x:</w:t>
      </w:r>
      <w:r>
        <w:t xml:space="preserve"> </w:t>
      </w:r>
      <w:r>
        <w:t xml:space="preserve">vector numérico que representa la primera muestra</w:t>
      </w:r>
    </w:p>
    <w:p>
      <w:pPr>
        <w:numPr>
          <w:ilvl w:val="0"/>
          <w:numId w:val="1033"/>
        </w:numPr>
        <w:pStyle w:val="Compact"/>
      </w:pPr>
      <w:r>
        <w:rPr>
          <w:bCs/>
          <w:b/>
        </w:rPr>
        <w:t xml:space="preserve">sigma:</w:t>
      </w:r>
      <w:r>
        <w:t xml:space="preserve"> </w:t>
      </w:r>
      <w:r>
        <w:t xml:space="preserve">es la desviación estándar de la muestra</w:t>
      </w:r>
    </w:p>
    <w:p>
      <w:pPr>
        <w:numPr>
          <w:ilvl w:val="0"/>
          <w:numId w:val="1033"/>
        </w:numPr>
        <w:pStyle w:val="Compact"/>
      </w:pPr>
      <w:r>
        <w:rPr>
          <w:bCs/>
          <w:b/>
        </w:rPr>
        <w:t xml:space="preserve">alternative:</w:t>
      </w:r>
      <w:r>
        <w:t xml:space="preserve"> </w:t>
      </w:r>
      <w:r>
        <w:t xml:space="preserve">indica si la prueba es de cola izquierda (less), derecha (greater) o de dos colas (two.sided)</w:t>
      </w:r>
    </w:p>
    <w:p>
      <w:pPr>
        <w:numPr>
          <w:ilvl w:val="0"/>
          <w:numId w:val="1033"/>
        </w:numPr>
        <w:pStyle w:val="Compact"/>
      </w:pPr>
      <w:r>
        <w:rPr>
          <w:bCs/>
          <w:b/>
        </w:rPr>
        <w:t xml:space="preserve">conf.level:</w:t>
      </w:r>
      <w:r>
        <w:t xml:space="preserve"> </w:t>
      </w:r>
      <w:r>
        <w:t xml:space="preserve">Indica el nivel de confianza con el que se realiza la prueba</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rPr>
                  <m:sty m:val="p"/>
                </m:rPr>
                <m:t>=</m:t>
              </m:r>
              <m:r>
                <m:t>53939</m:t>
              </m:r>
            </m:oMath>
          </w:p>
        </w:tc>
      </w:tr>
      <w:tr>
        <w:tc>
          <w:p>
            <w:pPr>
              <w:pStyle w:val="Compact"/>
              <w:jc w:val="left"/>
            </w:pPr>
            <w:r>
              <w:t xml:space="preserve">Grados de libertad</w:t>
            </w:r>
          </w:p>
        </w:tc>
        <w:tc>
          <w:p>
            <w:pPr>
              <w:pStyle w:val="Compact"/>
              <w:jc w:val="left"/>
            </w:pPr>
            <m:oMath>
              <m:r>
                <m:t>v</m:t>
              </m:r>
              <m:r>
                <m:rPr>
                  <m:sty m:val="p"/>
                </m:rPr>
                <m:t>=</m:t>
              </m:r>
              <m:r>
                <m:t>53939</m:t>
              </m:r>
            </m:oMath>
          </w:p>
        </w:tc>
      </w:tr>
      <w:tr>
        <w:tc>
          <w:p>
            <w:pPr>
              <w:pStyle w:val="Compact"/>
              <w:jc w:val="left"/>
            </w:pPr>
            <w:r>
              <w:t xml:space="preserve">Estadístico de prueba</w:t>
            </w:r>
          </w:p>
        </w:tc>
        <w:tc>
          <w:p>
            <w:pPr>
              <w:pStyle w:val="Compact"/>
              <w:jc w:val="left"/>
            </w:pPr>
            <m:oMath>
              <m:sSup>
                <m:e>
                  <m:r>
                    <m:t>s</m:t>
                  </m:r>
                </m:e>
                <m:sup>
                  <m:r>
                    <m:t>2</m:t>
                  </m:r>
                </m:sup>
              </m:sSup>
              <m:r>
                <m:rPr>
                  <m:sty m:val="p"/>
                </m:rP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rPr>
                  <m:sty m:val="p"/>
                </m:rPr>
                <m:t>∞</m:t>
              </m:r>
            </m:oMath>
            <w:r>
              <w:t xml:space="preserve">, 0.2220290[</w:t>
            </w:r>
            <w:r>
              <w:t xml:space="preserve"> </w:t>
            </w:r>
            <m:oMath>
              <m:r>
                <m:rPr>
                  <m:sty m:val="p"/>
                </m:rPr>
                <m:t>∪</m:t>
              </m:r>
            </m:oMath>
            <w:r>
              <w:t xml:space="preserve"> </w:t>
            </w:r>
            <w:r>
              <w:t xml:space="preserve">]0.2273925,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bookmarkStart w:id="55" w:name="iv-parte-otras-pruebas-de-hipótesis-en-r"/>
    <w:p>
      <w:pPr>
        <w:pStyle w:val="Heading1"/>
      </w:pPr>
      <w:r>
        <w:t xml:space="preserve">IV Parte: Otras pruebas de hipótesis en R</w:t>
      </w:r>
    </w:p>
    <w:bookmarkStart w:id="50" w:name="caso-1"/>
    <w:p>
      <w:pPr>
        <w:pStyle w:val="Heading2"/>
      </w:pPr>
      <w:r>
        <w:t xml:space="preserve">Caso 1:</w:t>
      </w:r>
    </w:p>
    <w:p>
      <w:pPr>
        <w:numPr>
          <w:ilvl w:val="0"/>
          <w:numId w:val="1034"/>
        </w:numPr>
      </w:pPr>
      <w:r>
        <w:t xml:space="preserve">Gráficos</w:t>
      </w:r>
    </w:p>
    <w:p>
      <w:pPr>
        <w:numPr>
          <w:ilvl w:val="0"/>
          <w:numId w:val="1034"/>
        </w:numPr>
      </w:pPr>
      <w:r>
        <w:t xml:space="preserve">Gráfico QQ-plot</w:t>
      </w:r>
    </w:p>
    <w:p>
      <w:pPr>
        <w:numPr>
          <w:ilvl w:val="0"/>
          <w:numId w:val="1034"/>
        </w:numPr>
      </w:pPr>
      <w:r>
        <w:t xml:space="preserve">Pruebas formales de normalidad S-W test, A-D test, K-S-L test</w:t>
      </w:r>
    </w:p>
    <w:p>
      <w:pPr>
        <w:numPr>
          <w:ilvl w:val="0"/>
          <w:numId w:val="1034"/>
        </w:numPr>
      </w:pPr>
      <w:r>
        <w:t xml:space="preserve">D’Agostino-Pearson</w:t>
      </w:r>
    </w:p>
    <w:p>
      <w:pPr>
        <w:numPr>
          <w:ilvl w:val="0"/>
          <w:numId w:val="1034"/>
        </w:numPr>
      </w:pPr>
      <w:r>
        <w:t xml:space="preserve">Análisis de custoris y simetría de los datos</w:t>
      </w:r>
    </w:p>
    <w:bookmarkEnd w:id="50"/>
    <w:bookmarkStart w:id="51" w:name="caso-2"/>
    <w:p>
      <w:pPr>
        <w:pStyle w:val="Heading2"/>
      </w:pPr>
      <w:r>
        <w:t xml:space="preserve">Caso 2:</w:t>
      </w:r>
    </w:p>
    <w:p>
      <w:pPr>
        <w:numPr>
          <w:ilvl w:val="0"/>
          <w:numId w:val="1035"/>
        </w:numPr>
      </w:pPr>
      <w:r>
        <w:t xml:space="preserve">Gráficos</w:t>
      </w:r>
    </w:p>
    <w:p>
      <w:pPr>
        <w:numPr>
          <w:ilvl w:val="0"/>
          <w:numId w:val="1035"/>
        </w:numPr>
      </w:pPr>
      <w:r>
        <w:t xml:space="preserve">Gráfico QQ-plot</w:t>
      </w:r>
    </w:p>
    <w:p>
      <w:pPr>
        <w:numPr>
          <w:ilvl w:val="0"/>
          <w:numId w:val="1035"/>
        </w:numPr>
      </w:pPr>
      <w:r>
        <w:t xml:space="preserve">Pruebas formales de normalidad S-W test, A-D test, K-S-L test</w:t>
      </w:r>
    </w:p>
    <w:p>
      <w:pPr>
        <w:numPr>
          <w:ilvl w:val="0"/>
          <w:numId w:val="1035"/>
        </w:numPr>
      </w:pPr>
      <w:r>
        <w:t xml:space="preserve">D’Agostino-Pearson</w:t>
      </w:r>
    </w:p>
    <w:p>
      <w:pPr>
        <w:numPr>
          <w:ilvl w:val="0"/>
          <w:numId w:val="1035"/>
        </w:numPr>
      </w:pPr>
      <w:r>
        <w:t xml:space="preserve">Análisis de custoris y simetría de los datos</w:t>
      </w:r>
    </w:p>
    <w:bookmarkEnd w:id="51"/>
    <w:bookmarkStart w:id="52" w:name="resumen-casos-1-y-2"/>
    <w:p>
      <w:pPr>
        <w:pStyle w:val="Heading2"/>
      </w:pPr>
      <w:r>
        <w:t xml:space="preserve">Resumen casos 1 y 2</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Tipo de prueba</w:t>
            </w:r>
          </w:p>
        </w:tc>
        <w:tc>
          <w:p>
            <w:pPr>
              <w:pStyle w:val="Compact"/>
              <w:jc w:val="left"/>
            </w:pPr>
            <w:r>
              <w:t xml:space="preserve">Niños</w:t>
            </w:r>
          </w:p>
        </w:tc>
        <w:tc>
          <w:p>
            <w:pPr>
              <w:pStyle w:val="Compact"/>
              <w:jc w:val="left"/>
            </w:pPr>
            <w:r>
              <w:t xml:space="preserve">Niñas</w:t>
            </w:r>
          </w:p>
        </w:tc>
        <w:tc>
          <w:p>
            <w:pPr>
              <w:pStyle w:val="Compact"/>
              <w:jc w:val="left"/>
            </w:pPr>
            <w:r>
              <w:t xml:space="preserve">Medidas de biceps</w:t>
            </w:r>
          </w:p>
        </w:tc>
      </w:tr>
      <w:tr>
        <w:tc>
          <w:p>
            <w:pPr>
              <w:pStyle w:val="Compact"/>
              <w:jc w:val="left"/>
            </w:pPr>
            <w:r>
              <w:t xml:space="preserve">Función de densidad versus curva normal</w:t>
            </w:r>
          </w:p>
        </w:tc>
        <w:tc>
          <w:p>
            <w:pPr>
              <w:pStyle w:val="Compact"/>
              <w:jc w:val="left"/>
            </w:pPr>
            <w:r>
              <w:t xml:space="preserve">Anote lo observado</w:t>
            </w:r>
          </w:p>
        </w:tc>
        <w:tc>
          <w:p>
            <w:pPr>
              <w:pStyle w:val="Compact"/>
              <w:jc w:val="left"/>
            </w:pPr>
            <w:r>
              <w:t xml:space="preserve">Anote lo observado</w:t>
            </w:r>
          </w:p>
        </w:tc>
        <w:tc>
          <w:p>
            <w:pPr>
              <w:pStyle w:val="Compact"/>
              <w:jc w:val="left"/>
            </w:pPr>
            <w:r>
              <w:t xml:space="preserve">Anote lo observado</w:t>
            </w:r>
          </w:p>
        </w:tc>
      </w:tr>
      <w:tr>
        <w:tc>
          <w:p>
            <w:pPr>
              <w:pStyle w:val="Compact"/>
              <w:jc w:val="left"/>
            </w:pPr>
            <w:r>
              <w:t xml:space="preserve">Conclusión</w:t>
            </w:r>
          </w:p>
        </w:tc>
        <w:tc>
          <w:p/>
        </w:tc>
        <w:tc>
          <w:p/>
        </w:tc>
        <w:tc>
          <w:p/>
        </w:tc>
      </w:tr>
      <w:tr>
        <w:tc>
          <w:p>
            <w:pPr>
              <w:pStyle w:val="Compact"/>
              <w:jc w:val="left"/>
            </w:pPr>
            <w:r>
              <w:t xml:space="preserve">QQ-Plot</w:t>
            </w:r>
          </w:p>
        </w:tc>
        <w:tc>
          <w:p>
            <w:pPr>
              <w:pStyle w:val="Compact"/>
              <w:jc w:val="left"/>
            </w:pPr>
            <w:r>
              <w:t xml:space="preserve">Anote lo observado</w:t>
            </w:r>
          </w:p>
        </w:tc>
        <w:tc>
          <w:p>
            <w:pPr>
              <w:pStyle w:val="Compact"/>
              <w:jc w:val="left"/>
            </w:pPr>
            <w:r>
              <w:t xml:space="preserve">Anote lo observado</w:t>
            </w:r>
          </w:p>
        </w:tc>
        <w:tc>
          <w:p>
            <w:pPr>
              <w:pStyle w:val="Compact"/>
              <w:jc w:val="left"/>
            </w:pPr>
            <w:r>
              <w:t xml:space="preserve">Anote lo observado</w:t>
            </w:r>
          </w:p>
        </w:tc>
      </w:tr>
      <w:tr>
        <w:tc>
          <w:p>
            <w:pPr>
              <w:pStyle w:val="Compact"/>
              <w:jc w:val="left"/>
            </w:pPr>
            <w:r>
              <w:t xml:space="preserve">Conclusión</w:t>
            </w:r>
          </w:p>
        </w:tc>
        <w:tc>
          <w:p/>
        </w:tc>
        <w:tc>
          <w:p/>
        </w:tc>
        <w:tc>
          <w:p/>
        </w:tc>
      </w:tr>
      <w:tr>
        <w:tc>
          <w:p>
            <w:pPr>
              <w:pStyle w:val="Compact"/>
              <w:jc w:val="left"/>
            </w:pPr>
            <w:r>
              <w:t xml:space="preserve">S-W test</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A-D test</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D’Agostino-Pearson</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Curtosis y simetría</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Conclusión general sobre normalidad de los datos</w:t>
            </w:r>
          </w:p>
        </w:tc>
        <w:tc>
          <w:p/>
        </w:tc>
        <w:tc>
          <w:p/>
        </w:tc>
        <w:tc>
          <w:p/>
        </w:tc>
      </w:tr>
    </w:tbl>
    <w:bookmarkEnd w:id="52"/>
    <w:bookmarkStart w:id="53" w:name="caso-3"/>
    <w:p>
      <w:pPr>
        <w:pStyle w:val="Heading2"/>
      </w:pPr>
      <w:r>
        <w:t xml:space="preserve">Caso 3:</w:t>
      </w:r>
    </w:p>
    <w:bookmarkEnd w:id="53"/>
    <w:bookmarkStart w:id="54" w:name="caso-4"/>
    <w:p>
      <w:pPr>
        <w:pStyle w:val="Heading2"/>
      </w:pPr>
      <w:r>
        <w:t xml:space="preserve">Caso 4:</w:t>
      </w:r>
    </w:p>
    <w:bookmarkEnd w:id="54"/>
    <w:bookmarkEnd w:id="55"/>
    <w:bookmarkStart w:id="58" w:name="v-parte-modelos-de-regresión-lineal"/>
    <w:p>
      <w:pPr>
        <w:pStyle w:val="Heading1"/>
      </w:pPr>
      <w:r>
        <w:t xml:space="preserve">V Parte: Modelos de regresión lineal</w:t>
      </w:r>
    </w:p>
    <w:bookmarkStart w:id="56" w:name="caso-5"/>
    <w:p>
      <w:pPr>
        <w:pStyle w:val="Heading2"/>
      </w:pPr>
      <w:r>
        <w:t xml:space="preserve">Caso 5:</w:t>
      </w:r>
    </w:p>
    <w:bookmarkEnd w:id="56"/>
    <w:bookmarkStart w:id="57" w:name="caso-6"/>
    <w:p>
      <w:pPr>
        <w:pStyle w:val="Heading2"/>
      </w:pPr>
      <w:r>
        <w:t xml:space="preserve">Caso 6:</w:t>
      </w:r>
    </w:p>
    <w:bookmarkEnd w:id="57"/>
    <w:bookmarkEnd w:id="58"/>
    <w:bookmarkStart w:id="60" w:name="vi-parte-modelos-de-regresión-no-lineal"/>
    <w:p>
      <w:pPr>
        <w:pStyle w:val="Heading1"/>
      </w:pPr>
      <w:r>
        <w:t xml:space="preserve">VI Parte: Modelos de regresión no lineal</w:t>
      </w:r>
    </w:p>
    <w:bookmarkStart w:id="59" w:name="caso-7"/>
    <w:p>
      <w:pPr>
        <w:pStyle w:val="Heading2"/>
      </w:pPr>
      <w:r>
        <w:t xml:space="preserve">Caso 7:</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2021-06-10T18:49:01Z</dcterms:created>
  <dcterms:modified xsi:type="dcterms:W3CDTF">2021-06-10T18:49:01Z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