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3A0EDD" w14:textId="341B97CE" w:rsidR="00D428D6" w:rsidRPr="00723A5D" w:rsidRDefault="004848EC" w:rsidP="004848EC">
      <w:pPr>
        <w:jc w:val="center"/>
        <w:rPr>
          <w:sz w:val="40"/>
          <w:szCs w:val="40"/>
          <w:lang w:val="en-GB"/>
        </w:rPr>
      </w:pPr>
      <w:r w:rsidRPr="00723A5D">
        <w:rPr>
          <w:sz w:val="40"/>
          <w:szCs w:val="40"/>
          <w:lang w:val="en-GB"/>
        </w:rPr>
        <w:t>DAM assignment - 26/04/2026</w:t>
      </w:r>
    </w:p>
    <w:p w14:paraId="64109879" w14:textId="77777777" w:rsidR="004848EC" w:rsidRDefault="004848EC" w:rsidP="004848EC">
      <w:pPr>
        <w:rPr>
          <w:lang w:val="en-GB"/>
        </w:rPr>
      </w:pPr>
    </w:p>
    <w:p w14:paraId="3C513775" w14:textId="7A6C10FB" w:rsidR="009A4C4F" w:rsidRPr="00E46F5A" w:rsidRDefault="004848EC" w:rsidP="00E46F5A">
      <w:pPr>
        <w:spacing w:line="360" w:lineRule="auto"/>
        <w:rPr>
          <w:b/>
          <w:bCs/>
          <w:lang w:val="en-GB"/>
        </w:rPr>
      </w:pPr>
      <w:r w:rsidRPr="00E46F5A">
        <w:rPr>
          <w:b/>
          <w:bCs/>
          <w:lang w:val="en-GB"/>
        </w:rPr>
        <w:t xml:space="preserve">Part 1 </w:t>
      </w:r>
      <w:r w:rsidR="009079B7">
        <w:rPr>
          <w:b/>
          <w:bCs/>
          <w:lang w:val="en-GB"/>
        </w:rPr>
        <w:t xml:space="preserve">– Patrick </w:t>
      </w:r>
      <w:r w:rsidR="00272FE3" w:rsidRPr="00E46F5A">
        <w:rPr>
          <w:b/>
          <w:bCs/>
          <w:lang w:val="en-GB"/>
        </w:rPr>
        <w:t xml:space="preserve">– Digital Archival Literacy For (All) Historians </w:t>
      </w:r>
    </w:p>
    <w:p w14:paraId="3846B7F6" w14:textId="77777777" w:rsidR="00D07478" w:rsidRPr="00E46F5A" w:rsidRDefault="00A36B61" w:rsidP="00E46F5A">
      <w:pPr>
        <w:spacing w:line="360" w:lineRule="auto"/>
        <w:rPr>
          <w:lang w:val="en-GB"/>
        </w:rPr>
      </w:pPr>
      <w:r w:rsidRPr="00E46F5A">
        <w:rPr>
          <w:lang w:val="en-GB"/>
        </w:rPr>
        <w:t xml:space="preserve">In the article </w:t>
      </w:r>
      <w:r w:rsidR="009A4C4F" w:rsidRPr="00E46F5A">
        <w:rPr>
          <w:lang w:val="en-GB"/>
        </w:rPr>
        <w:t>“</w:t>
      </w:r>
      <w:r w:rsidRPr="00E46F5A">
        <w:rPr>
          <w:i/>
          <w:iCs/>
          <w:lang w:val="en-GB"/>
        </w:rPr>
        <w:t>Digital Archival Literacy For (All) Historians</w:t>
      </w:r>
      <w:r w:rsidR="009A4C4F" w:rsidRPr="00E46F5A">
        <w:rPr>
          <w:i/>
          <w:iCs/>
          <w:lang w:val="en-GB"/>
        </w:rPr>
        <w:t>”</w:t>
      </w:r>
      <w:r w:rsidRPr="00E46F5A">
        <w:rPr>
          <w:i/>
          <w:iCs/>
          <w:lang w:val="en-GB"/>
        </w:rPr>
        <w:t xml:space="preserve"> </w:t>
      </w:r>
      <w:r w:rsidRPr="00E46F5A">
        <w:rPr>
          <w:lang w:val="en-GB"/>
        </w:rPr>
        <w:t>Helle Strandgaard Jensen</w:t>
      </w:r>
      <w:r w:rsidR="00D07478" w:rsidRPr="00E46F5A">
        <w:rPr>
          <w:lang w:val="en-GB"/>
        </w:rPr>
        <w:t xml:space="preserve"> argues that the digital functions as a medium rather than just a passive filing cabinet. This shift means that a variety of underlying variables determine which sources are digitized and how information is available on a given subject</w:t>
      </w:r>
      <w:r w:rsidR="00063D1E" w:rsidRPr="00E46F5A">
        <w:rPr>
          <w:lang w:val="en-GB"/>
        </w:rPr>
        <w:t>.</w:t>
      </w:r>
      <w:r w:rsidR="00BA5AA2" w:rsidRPr="00E46F5A">
        <w:rPr>
          <w:rStyle w:val="Fodnotehenvisning"/>
          <w:lang w:val="en-GB"/>
        </w:rPr>
        <w:footnoteReference w:id="1"/>
      </w:r>
      <w:r w:rsidR="000B3F49" w:rsidRPr="00E46F5A">
        <w:rPr>
          <w:lang w:val="en-GB"/>
        </w:rPr>
        <w:t xml:space="preserve"> </w:t>
      </w:r>
    </w:p>
    <w:p w14:paraId="18C4406C" w14:textId="234CDD7D" w:rsidR="00D07478" w:rsidRPr="00E46F5A" w:rsidRDefault="00D07478" w:rsidP="00E46F5A">
      <w:pPr>
        <w:spacing w:line="360" w:lineRule="auto"/>
        <w:rPr>
          <w:lang w:val="en-GB"/>
        </w:rPr>
      </w:pPr>
      <w:r w:rsidRPr="00E46F5A">
        <w:rPr>
          <w:lang w:val="en-GB"/>
        </w:rPr>
        <w:t>One thought-provoking point regarding this is that the production of digital archives is often driven by a desire to make already popular subjects even more widely available.</w:t>
      </w:r>
      <w:r w:rsidRPr="00E46F5A">
        <w:rPr>
          <w:rStyle w:val="Fodnotehenvisning"/>
          <w:lang w:val="en-GB"/>
        </w:rPr>
        <w:t xml:space="preserve"> </w:t>
      </w:r>
      <w:r w:rsidRPr="00E46F5A">
        <w:rPr>
          <w:rStyle w:val="Fodnotehenvisning"/>
          <w:lang w:val="en-GB"/>
        </w:rPr>
        <w:footnoteReference w:id="2"/>
      </w:r>
      <w:r w:rsidRPr="00E46F5A">
        <w:rPr>
          <w:lang w:val="en-GB"/>
        </w:rPr>
        <w:t xml:space="preserve">  Digitization is often shaped by external funding interests. An example of this for instance in Great Britain is the major benefactors like the </w:t>
      </w:r>
      <w:proofErr w:type="spellStart"/>
      <w:r w:rsidRPr="00E46F5A">
        <w:rPr>
          <w:lang w:val="en-GB"/>
        </w:rPr>
        <w:t>Wellcome</w:t>
      </w:r>
      <w:proofErr w:type="spellEnd"/>
      <w:r w:rsidRPr="00E46F5A">
        <w:rPr>
          <w:lang w:val="en-GB"/>
        </w:rPr>
        <w:t xml:space="preserve"> Trust and the Royal Collection which prioritize health and royal history, respectively, which inherently biases the landscape of the digital archives.</w:t>
      </w:r>
      <w:r w:rsidRPr="00E46F5A">
        <w:rPr>
          <w:rStyle w:val="Fodnotehenvisning"/>
          <w:lang w:val="en-GB"/>
        </w:rPr>
        <w:footnoteReference w:id="3"/>
      </w:r>
      <w:r w:rsidRPr="00E46F5A">
        <w:rPr>
          <w:lang w:val="en-GB"/>
        </w:rPr>
        <w:t xml:space="preserve">    </w:t>
      </w:r>
    </w:p>
    <w:p w14:paraId="2389EB13" w14:textId="6EB03A5A" w:rsidR="008D5F87" w:rsidRPr="00E46F5A" w:rsidRDefault="00F2757E" w:rsidP="00E46F5A">
      <w:pPr>
        <w:spacing w:line="360" w:lineRule="auto"/>
        <w:rPr>
          <w:lang w:val="en-GB"/>
        </w:rPr>
      </w:pPr>
      <w:r w:rsidRPr="00E46F5A">
        <w:rPr>
          <w:lang w:val="en-GB"/>
        </w:rPr>
        <w:t>A second critical point is the major influence of metadata on historical searches. Because metadata is essentially “data about data,” it encodes specific interpretations and categorisations of a source. This fundamentally changes the historian’s interaction with the archive. Researchers must now apply source criticism not only to the historical source, but also on the very structure of the digital archives.</w:t>
      </w:r>
      <w:r w:rsidRPr="00E46F5A">
        <w:rPr>
          <w:rStyle w:val="Fodnotehenvisning"/>
          <w:lang w:val="en-GB"/>
        </w:rPr>
        <w:t xml:space="preserve"> </w:t>
      </w:r>
      <w:r w:rsidRPr="00E46F5A">
        <w:rPr>
          <w:rStyle w:val="Fodnotehenvisning"/>
          <w:lang w:val="en-GB"/>
        </w:rPr>
        <w:footnoteReference w:id="4"/>
      </w:r>
      <w:r w:rsidRPr="00E46F5A">
        <w:rPr>
          <w:lang w:val="en-GB"/>
        </w:rPr>
        <w:t xml:space="preserve">  </w:t>
      </w:r>
    </w:p>
    <w:p w14:paraId="4BC90F85" w14:textId="05BCD5C5" w:rsidR="00272FE3" w:rsidRPr="00E46F5A" w:rsidRDefault="008A32E1" w:rsidP="00E46F5A">
      <w:pPr>
        <w:spacing w:line="360" w:lineRule="auto"/>
        <w:rPr>
          <w:lang w:val="en-GB"/>
        </w:rPr>
      </w:pPr>
      <w:r w:rsidRPr="00E46F5A">
        <w:rPr>
          <w:lang w:val="en-GB"/>
        </w:rPr>
        <w:t xml:space="preserve">Ultimately </w:t>
      </w:r>
      <w:r w:rsidR="005333AA" w:rsidRPr="00E46F5A">
        <w:rPr>
          <w:lang w:val="en-GB"/>
        </w:rPr>
        <w:t xml:space="preserve">Jensen’s concept of “Digital Archival Literacy” is essential for addressing the distinct challenges. It equips historians with the theoretical skills needed to navigate the digital landscape responsibly.  </w:t>
      </w:r>
      <w:r w:rsidR="008A6423" w:rsidRPr="00E46F5A">
        <w:rPr>
          <w:lang w:val="en-GB"/>
        </w:rPr>
        <w:t>(251 words)</w:t>
      </w:r>
    </w:p>
    <w:p w14:paraId="124E55F5" w14:textId="77777777" w:rsidR="008A6423" w:rsidRPr="00E46F5A" w:rsidRDefault="008A6423" w:rsidP="00E46F5A">
      <w:pPr>
        <w:spacing w:line="360" w:lineRule="auto"/>
        <w:rPr>
          <w:lang w:val="en-GB"/>
        </w:rPr>
      </w:pPr>
    </w:p>
    <w:p w14:paraId="08626451" w14:textId="77777777" w:rsidR="009079B7" w:rsidRDefault="009079B7" w:rsidP="00E46F5A">
      <w:pPr>
        <w:spacing w:line="360" w:lineRule="auto"/>
        <w:rPr>
          <w:b/>
          <w:bCs/>
          <w:lang w:val="en-GB"/>
        </w:rPr>
      </w:pPr>
    </w:p>
    <w:p w14:paraId="7683E34E" w14:textId="77777777" w:rsidR="009079B7" w:rsidRDefault="009079B7" w:rsidP="00E46F5A">
      <w:pPr>
        <w:spacing w:line="360" w:lineRule="auto"/>
        <w:rPr>
          <w:b/>
          <w:bCs/>
          <w:lang w:val="en-GB"/>
        </w:rPr>
      </w:pPr>
    </w:p>
    <w:p w14:paraId="55883E6E" w14:textId="41AF20A3" w:rsidR="00E90CCA" w:rsidRPr="00E46F5A" w:rsidRDefault="00E90CCA" w:rsidP="00E46F5A">
      <w:pPr>
        <w:spacing w:line="360" w:lineRule="auto"/>
        <w:rPr>
          <w:b/>
          <w:bCs/>
          <w:lang w:val="en-GB"/>
        </w:rPr>
      </w:pPr>
      <w:r w:rsidRPr="00E46F5A">
        <w:rPr>
          <w:b/>
          <w:bCs/>
          <w:lang w:val="en-GB"/>
        </w:rPr>
        <w:lastRenderedPageBreak/>
        <w:t xml:space="preserve">Part 2 – Sebastian – Esther Freilich </w:t>
      </w:r>
    </w:p>
    <w:p w14:paraId="6A80C9D4" w14:textId="2B816BE9" w:rsidR="00E90CCA" w:rsidRPr="00E46F5A" w:rsidRDefault="00E90CCA" w:rsidP="00E46F5A">
      <w:pPr>
        <w:spacing w:line="360" w:lineRule="auto"/>
        <w:rPr>
          <w:b/>
          <w:bCs/>
          <w:lang w:val="en-GB"/>
        </w:rPr>
      </w:pPr>
      <w:r w:rsidRPr="00E46F5A">
        <w:rPr>
          <w:b/>
          <w:bCs/>
          <w:lang w:val="en-GB"/>
        </w:rPr>
        <w:t>Part 2.1</w:t>
      </w:r>
    </w:p>
    <w:p w14:paraId="10DE13B8" w14:textId="77777777" w:rsidR="00E90CCA" w:rsidRPr="00E46F5A" w:rsidRDefault="00E90CCA" w:rsidP="00E46F5A">
      <w:pPr>
        <w:spacing w:line="360" w:lineRule="auto"/>
        <w:rPr>
          <w:rFonts w:eastAsia="Calibri" w:cs="Calibri"/>
        </w:rPr>
      </w:pPr>
      <w:r w:rsidRPr="00E46F5A">
        <w:rPr>
          <w:rFonts w:eastAsia="Calibri" w:cs="Calibri"/>
          <w:lang w:val="en-US"/>
        </w:rPr>
        <w:t>One of David Boder’s interviewees is Esther Freilich, a 13-year-old Polish Jewish girl interviewed on 9 August 1946 in Paris. Esther was born on 11 March 1933 and, during the German occupation of France, was detained by the French police. She explains that the police arrived at 2 a.m. and told them to prepare their suitcases, after which they were taken to the camp Drancy internment camp. She first says that she arrived with her mother but was later separated from her and remained alone for two years. She describes a lack of food and water and very poor living conditions. Afterwards, Esther attended a French school at first, and later a German school, where she faced resistance and discrimination from a teacher and was exposed to possible antisemitism.</w:t>
      </w:r>
      <w:r w:rsidRPr="00E46F5A">
        <w:rPr>
          <w:rStyle w:val="Fodnotehenvisning"/>
          <w:rFonts w:eastAsia="Calibri" w:cs="Calibri"/>
          <w:lang w:val="en-US"/>
        </w:rPr>
        <w:footnoteReference w:id="5"/>
      </w:r>
      <w:r w:rsidRPr="00E46F5A">
        <w:rPr>
          <w:rFonts w:eastAsia="Calibri" w:cs="Calibri"/>
        </w:rPr>
        <w:t xml:space="preserve"> </w:t>
      </w:r>
    </w:p>
    <w:p w14:paraId="32A73543" w14:textId="77777777" w:rsidR="00E90CCA" w:rsidRPr="00E46F5A" w:rsidRDefault="00E90CCA" w:rsidP="00E46F5A">
      <w:pPr>
        <w:spacing w:line="360" w:lineRule="auto"/>
        <w:rPr>
          <w:rFonts w:eastAsia="Calibri" w:cs="Calibri"/>
        </w:rPr>
      </w:pPr>
      <w:r w:rsidRPr="00E46F5A">
        <w:rPr>
          <w:rFonts w:eastAsia="Calibri" w:cs="Calibri"/>
          <w:lang w:val="en-US"/>
        </w:rPr>
        <w:t>The original context of this source is clearly documented and preserved in the metadata. Precise information such as date, location, and recording format is provided, and it is emphasized that this is an oral testimony recorded shortly after the war. More practical details are also included, such as the language of the interview and the roles of the transcriber, translator, and editor, showing that the interview has been processed and presented after it was recorded. In addition, information about the identification number and the digital object ID is given, illustrating how the archive organizes and preserves the source.</w:t>
      </w:r>
      <w:r w:rsidRPr="00E46F5A">
        <w:rPr>
          <w:rStyle w:val="Fodnotehenvisning"/>
          <w:rFonts w:eastAsia="Calibri" w:cs="Calibri"/>
          <w:lang w:val="en-US"/>
        </w:rPr>
        <w:footnoteReference w:id="6"/>
      </w:r>
      <w:r w:rsidRPr="00E46F5A">
        <w:rPr>
          <w:rFonts w:eastAsia="Calibri" w:cs="Calibri"/>
        </w:rPr>
        <w:t xml:space="preserve"> </w:t>
      </w:r>
    </w:p>
    <w:p w14:paraId="53B326C0" w14:textId="77777777" w:rsidR="00E90CCA" w:rsidRPr="00E46F5A" w:rsidRDefault="00E90CCA" w:rsidP="00E46F5A">
      <w:pPr>
        <w:spacing w:after="0" w:line="360" w:lineRule="auto"/>
        <w:rPr>
          <w:rFonts w:eastAsia="Calibri" w:cs="Calibri"/>
        </w:rPr>
      </w:pPr>
      <w:r w:rsidRPr="00E46F5A">
        <w:rPr>
          <w:rFonts w:eastAsia="Calibri" w:cs="Calibri"/>
          <w:lang w:val="en-US"/>
        </w:rPr>
        <w:t>In the archive description, the interview is categorized based on Esther’s status as a Jewish refugee and Holocaust survivor. It is placed within the broader category of “World War II refugees” from a Jewish perspective. This choice highlights her as a child survivor and frames the interview as a story of trauma, displacement, and survival at a young age. Finally, the function of the metadata thus not only works as an organizational tool, but as an interpretative framework that affects how we understand the source and Esther as a historical actor.</w:t>
      </w:r>
      <w:r w:rsidRPr="00E46F5A">
        <w:rPr>
          <w:rStyle w:val="Fodnotehenvisning"/>
          <w:rFonts w:eastAsia="Calibri" w:cs="Calibri"/>
          <w:lang w:val="en-US"/>
        </w:rPr>
        <w:footnoteReference w:id="7"/>
      </w:r>
    </w:p>
    <w:p w14:paraId="1AE284AB" w14:textId="77777777" w:rsidR="00E90CCA" w:rsidRPr="00E46F5A" w:rsidRDefault="00E90CCA" w:rsidP="00E46F5A">
      <w:pPr>
        <w:shd w:val="clear" w:color="auto" w:fill="FFFFFF" w:themeFill="background1"/>
        <w:spacing w:line="360" w:lineRule="auto"/>
        <w:rPr>
          <w:rFonts w:eastAsia="Aptos Display" w:cs="Aptos Display"/>
          <w:lang w:val="en-US"/>
        </w:rPr>
      </w:pPr>
    </w:p>
    <w:p w14:paraId="24FDCD04" w14:textId="710BD6CC" w:rsidR="00E46F5A" w:rsidRPr="00E46F5A" w:rsidRDefault="00E46F5A" w:rsidP="00E46F5A">
      <w:pPr>
        <w:shd w:val="clear" w:color="auto" w:fill="FFFFFF" w:themeFill="background1"/>
        <w:spacing w:line="360" w:lineRule="auto"/>
        <w:rPr>
          <w:rFonts w:eastAsia="Aptos Display" w:cs="Aptos Display"/>
          <w:b/>
          <w:bCs/>
          <w:lang w:val="en-US"/>
        </w:rPr>
      </w:pPr>
      <w:r w:rsidRPr="00E46F5A">
        <w:rPr>
          <w:rFonts w:eastAsia="Aptos Display" w:cs="Aptos Display"/>
          <w:b/>
          <w:bCs/>
          <w:lang w:val="en-US"/>
        </w:rPr>
        <w:t>Part 2.2</w:t>
      </w:r>
    </w:p>
    <w:p w14:paraId="7F0863B1" w14:textId="77777777" w:rsidR="00E90CCA" w:rsidRPr="00E46F5A" w:rsidRDefault="00E90CCA" w:rsidP="00E46F5A">
      <w:pPr>
        <w:shd w:val="clear" w:color="auto" w:fill="FFFFFF" w:themeFill="background1"/>
        <w:spacing w:line="360" w:lineRule="auto"/>
      </w:pPr>
      <w:r w:rsidRPr="00E46F5A">
        <w:rPr>
          <w:rFonts w:eastAsia="Calibri" w:cs="Calibri"/>
          <w:color w:val="202122"/>
          <w:lang w:val="en-US"/>
        </w:rPr>
        <w:t>The contrast between the interviewer and the interviewee is that Boder takes on a more understanding role while still trying to remain neutral and get answers to his questions. On the other hand, Esther Freilich is the one answering these questions. She responds very quickly and almost without thinking, because she has a story she wants to tell. This makes her account more direct and unfiltered than if an adult had answered the same questions. Because of this, it can be difficult to clearly hear that she is sad, as someone so young may not fully understand or have processed what has happened. However, she does not speak with happiness or enthusiasm either; instead, her tone seems somewhat confused and still marked by trauma.</w:t>
      </w:r>
    </w:p>
    <w:p w14:paraId="7FE579C1" w14:textId="77777777" w:rsidR="00E90CCA" w:rsidRPr="00E46F5A" w:rsidRDefault="00E90CCA" w:rsidP="00E46F5A">
      <w:pPr>
        <w:shd w:val="clear" w:color="auto" w:fill="FFFFFF" w:themeFill="background1"/>
        <w:spacing w:line="360" w:lineRule="auto"/>
      </w:pPr>
      <w:r w:rsidRPr="00E46F5A">
        <w:rPr>
          <w:rFonts w:eastAsia="Calibri" w:cs="Calibri"/>
          <w:color w:val="202122"/>
          <w:lang w:val="en-US"/>
        </w:rPr>
        <w:t>In relation to transcription, audio recordings give the listener a more real and authentic experience. It is easier to relate to the story and understand what the person is describing than it would be through text alone. This can also create more sympathy and understanding for the person, as well as greater respect.</w:t>
      </w:r>
    </w:p>
    <w:p w14:paraId="217CD614" w14:textId="1CB7A872" w:rsidR="00E90CCA" w:rsidRPr="00E46F5A" w:rsidRDefault="00E90CCA" w:rsidP="00E46F5A">
      <w:pPr>
        <w:shd w:val="clear" w:color="auto" w:fill="FFFFFF" w:themeFill="background1"/>
        <w:spacing w:line="360" w:lineRule="auto"/>
      </w:pPr>
      <w:r w:rsidRPr="00E46F5A">
        <w:rPr>
          <w:rFonts w:eastAsia="Calibri" w:cs="Calibri"/>
          <w:color w:val="202122"/>
          <w:lang w:val="en-US"/>
        </w:rPr>
        <w:t xml:space="preserve">To show what is lost in written form, the following quote from </w:t>
      </w:r>
      <w:proofErr w:type="spellStart"/>
      <w:r w:rsidRPr="00E46F5A">
        <w:rPr>
          <w:rFonts w:eastAsia="Calibri" w:cs="Calibri"/>
          <w:color w:val="202122"/>
          <w:lang w:val="en-US"/>
        </w:rPr>
        <w:t>Presner</w:t>
      </w:r>
      <w:proofErr w:type="spellEnd"/>
      <w:r w:rsidRPr="00E46F5A">
        <w:rPr>
          <w:rFonts w:eastAsia="Calibri" w:cs="Calibri"/>
          <w:color w:val="202122"/>
          <w:lang w:val="en-US"/>
        </w:rPr>
        <w:t xml:space="preserve"> (2024) can be used: “In fact, the words alone in the final quotation do not indicate anything about the creakiness of her voice, her tone of almost pleading with me to understand her, the hesitant pursing of her lips, or her labored breathing.”</w:t>
      </w:r>
      <w:r w:rsidRPr="00E46F5A">
        <w:rPr>
          <w:rStyle w:val="Fodnotehenvisning"/>
          <w:rFonts w:eastAsia="Calibri" w:cs="Calibri"/>
          <w:color w:val="202122"/>
          <w:lang w:val="en-US"/>
        </w:rPr>
        <w:footnoteReference w:id="8"/>
      </w:r>
      <w:r w:rsidRPr="00E46F5A">
        <w:rPr>
          <w:rFonts w:eastAsia="Calibri" w:cs="Calibri"/>
          <w:color w:val="202122"/>
          <w:lang w:val="en-US"/>
        </w:rPr>
        <w:t xml:space="preserve"> (</w:t>
      </w:r>
      <w:r w:rsidRPr="00E46F5A">
        <w:rPr>
          <w:rFonts w:eastAsia="Calibri" w:cs="Calibri"/>
          <w:lang w:val="en-US"/>
        </w:rPr>
        <w:t xml:space="preserve">Todd Presner, </w:t>
      </w:r>
      <w:r w:rsidRPr="00E46F5A">
        <w:rPr>
          <w:rFonts w:eastAsia="Calibri" w:cs="Calibri"/>
          <w:i/>
          <w:iCs/>
          <w:lang w:val="en-US"/>
        </w:rPr>
        <w:t>Technologies of Testimony and Distant Witnessing</w:t>
      </w:r>
      <w:r w:rsidRPr="00E46F5A">
        <w:rPr>
          <w:rFonts w:eastAsia="Calibri" w:cs="Calibri"/>
          <w:lang w:val="en-US"/>
        </w:rPr>
        <w:t xml:space="preserve">, </w:t>
      </w:r>
      <w:proofErr w:type="spellStart"/>
      <w:r w:rsidRPr="00E46F5A">
        <w:rPr>
          <w:rFonts w:eastAsia="Calibri" w:cs="Calibri"/>
          <w:lang w:val="en-US"/>
        </w:rPr>
        <w:t>i</w:t>
      </w:r>
      <w:proofErr w:type="spellEnd"/>
      <w:r w:rsidRPr="00E46F5A">
        <w:rPr>
          <w:rFonts w:eastAsia="Calibri" w:cs="Calibri"/>
          <w:lang w:val="en-US"/>
        </w:rPr>
        <w:t xml:space="preserve"> </w:t>
      </w:r>
      <w:r w:rsidRPr="00E46F5A">
        <w:rPr>
          <w:rFonts w:eastAsia="Calibri" w:cs="Calibri"/>
          <w:i/>
          <w:iCs/>
          <w:lang w:val="en-US"/>
        </w:rPr>
        <w:t>Introduction</w:t>
      </w:r>
      <w:r w:rsidRPr="00E46F5A">
        <w:rPr>
          <w:rFonts w:eastAsia="Calibri" w:cs="Calibri"/>
          <w:lang w:val="en-US"/>
        </w:rPr>
        <w:t xml:space="preserve"> (2024), 2.)</w:t>
      </w:r>
      <w:r w:rsidRPr="00E46F5A">
        <w:rPr>
          <w:rFonts w:eastAsia="Calibri" w:cs="Calibri"/>
          <w:color w:val="202122"/>
          <w:lang w:val="en-US"/>
        </w:rPr>
        <w:t xml:space="preserve"> </w:t>
      </w:r>
      <w:proofErr w:type="spellStart"/>
      <w:r w:rsidRPr="00E46F5A">
        <w:rPr>
          <w:rFonts w:eastAsia="Calibri" w:cs="Calibri"/>
          <w:color w:val="202122"/>
          <w:lang w:val="en-US"/>
        </w:rPr>
        <w:t>Presner</w:t>
      </w:r>
      <w:proofErr w:type="spellEnd"/>
      <w:r w:rsidRPr="00E46F5A">
        <w:rPr>
          <w:rFonts w:eastAsia="Calibri" w:cs="Calibri"/>
          <w:color w:val="202122"/>
          <w:lang w:val="en-US"/>
        </w:rPr>
        <w:t xml:space="preserve"> uses this quote to show that written sources are less rich compared to original recordings. It highlights how elements like tone of voice and breathing can communicate things that a written text cannot capture.</w:t>
      </w:r>
    </w:p>
    <w:p w14:paraId="4D2D8592" w14:textId="77777777" w:rsidR="00E90CCA" w:rsidRPr="00E46F5A" w:rsidRDefault="00E90CCA" w:rsidP="00E46F5A">
      <w:pPr>
        <w:shd w:val="clear" w:color="auto" w:fill="FFFFFF" w:themeFill="background1"/>
        <w:spacing w:line="360" w:lineRule="auto"/>
      </w:pPr>
      <w:r w:rsidRPr="00E46F5A">
        <w:rPr>
          <w:rFonts w:eastAsia="Calibri" w:cs="Calibri"/>
          <w:color w:val="202122"/>
          <w:lang w:val="en-US"/>
        </w:rPr>
        <w:t xml:space="preserve">Overall, audio recordings make history feel more vivid and personal, but they still need to be </w:t>
      </w:r>
      <w:proofErr w:type="spellStart"/>
      <w:r w:rsidRPr="00E46F5A">
        <w:rPr>
          <w:rFonts w:eastAsia="Calibri" w:cs="Calibri"/>
          <w:color w:val="202122"/>
          <w:lang w:val="en-US"/>
        </w:rPr>
        <w:t>analysed</w:t>
      </w:r>
      <w:proofErr w:type="spellEnd"/>
      <w:r w:rsidRPr="00E46F5A">
        <w:rPr>
          <w:rFonts w:eastAsia="Calibri" w:cs="Calibri"/>
          <w:color w:val="202122"/>
          <w:lang w:val="en-US"/>
        </w:rPr>
        <w:t xml:space="preserve"> critically like other historical sources.</w:t>
      </w:r>
      <w:r w:rsidRPr="00E46F5A">
        <w:rPr>
          <w:rStyle w:val="Fodnotehenvisning"/>
          <w:rFonts w:eastAsia="Calibri" w:cs="Calibri"/>
          <w:color w:val="202122"/>
          <w:lang w:val="en-US"/>
        </w:rPr>
        <w:footnoteReference w:id="9"/>
      </w:r>
      <w:r w:rsidRPr="00E46F5A">
        <w:t xml:space="preserve"> </w:t>
      </w:r>
    </w:p>
    <w:p w14:paraId="64AB9E55" w14:textId="77777777" w:rsidR="009079B7" w:rsidRDefault="009079B7" w:rsidP="00E46F5A">
      <w:pPr>
        <w:pStyle w:val="paragraph"/>
        <w:spacing w:before="0" w:beforeAutospacing="0" w:after="0" w:afterAutospacing="0" w:line="360" w:lineRule="auto"/>
        <w:textAlignment w:val="baseline"/>
        <w:rPr>
          <w:rStyle w:val="normaltextrun"/>
          <w:rFonts w:asciiTheme="minorHAnsi" w:hAnsiTheme="minorHAnsi" w:cs="Calibri"/>
          <w:b/>
          <w:bCs/>
          <w:color w:val="000000"/>
          <w:lang w:val="en-US"/>
        </w:rPr>
      </w:pPr>
    </w:p>
    <w:p w14:paraId="05AC0257" w14:textId="77777777" w:rsidR="009079B7" w:rsidRDefault="009079B7" w:rsidP="00E46F5A">
      <w:pPr>
        <w:pStyle w:val="paragraph"/>
        <w:spacing w:before="0" w:beforeAutospacing="0" w:after="0" w:afterAutospacing="0" w:line="360" w:lineRule="auto"/>
        <w:textAlignment w:val="baseline"/>
        <w:rPr>
          <w:rStyle w:val="normaltextrun"/>
          <w:rFonts w:asciiTheme="minorHAnsi" w:hAnsiTheme="minorHAnsi" w:cs="Calibri"/>
          <w:b/>
          <w:bCs/>
          <w:color w:val="000000"/>
          <w:lang w:val="en-US"/>
        </w:rPr>
      </w:pPr>
    </w:p>
    <w:p w14:paraId="2FD98938" w14:textId="62FFAD66" w:rsidR="00FC74F4" w:rsidRPr="00E46F5A" w:rsidRDefault="00FC74F4" w:rsidP="00E46F5A">
      <w:pPr>
        <w:pStyle w:val="paragraph"/>
        <w:spacing w:before="0" w:beforeAutospacing="0" w:after="0" w:afterAutospacing="0" w:line="360" w:lineRule="auto"/>
        <w:textAlignment w:val="baseline"/>
        <w:rPr>
          <w:rStyle w:val="eop"/>
          <w:rFonts w:asciiTheme="minorHAnsi" w:hAnsiTheme="minorHAnsi" w:cs="Segoe UI"/>
          <w:sz w:val="18"/>
          <w:szCs w:val="18"/>
        </w:rPr>
      </w:pPr>
      <w:r w:rsidRPr="00E46F5A">
        <w:rPr>
          <w:rStyle w:val="normaltextrun"/>
          <w:rFonts w:asciiTheme="minorHAnsi" w:hAnsiTheme="minorHAnsi" w:cs="Calibri"/>
          <w:b/>
          <w:bCs/>
          <w:color w:val="000000"/>
          <w:lang w:val="en-US"/>
        </w:rPr>
        <w:lastRenderedPageBreak/>
        <w:t>Part 3</w:t>
      </w:r>
      <w:r w:rsidRPr="00E46F5A">
        <w:rPr>
          <w:rStyle w:val="apple-converted-space"/>
          <w:rFonts w:asciiTheme="minorHAnsi" w:hAnsiTheme="minorHAnsi" w:cs="Calibri"/>
          <w:b/>
          <w:bCs/>
          <w:color w:val="000000"/>
          <w:lang w:val="en-US"/>
        </w:rPr>
        <w:t> </w:t>
      </w:r>
      <w:r w:rsidRPr="00E46F5A">
        <w:rPr>
          <w:rStyle w:val="normaltextrun"/>
          <w:rFonts w:asciiTheme="minorHAnsi" w:hAnsiTheme="minorHAnsi" w:cs="Calibri"/>
          <w:b/>
          <w:bCs/>
          <w:color w:val="000000"/>
          <w:lang w:val="en-US"/>
        </w:rPr>
        <w:t>– Patrick –</w:t>
      </w:r>
      <w:r w:rsidRPr="00E46F5A">
        <w:rPr>
          <w:rStyle w:val="apple-converted-space"/>
          <w:rFonts w:asciiTheme="minorHAnsi" w:hAnsiTheme="minorHAnsi" w:cs="Calibri"/>
          <w:b/>
          <w:bCs/>
          <w:color w:val="000000"/>
          <w:lang w:val="en-US"/>
        </w:rPr>
        <w:t> </w:t>
      </w:r>
      <w:r w:rsidRPr="00E46F5A">
        <w:rPr>
          <w:rStyle w:val="normaltextrun"/>
          <w:rFonts w:asciiTheme="minorHAnsi" w:hAnsiTheme="minorHAnsi" w:cs="Calibri"/>
          <w:b/>
          <w:bCs/>
          <w:color w:val="000000"/>
          <w:lang w:val="en-US"/>
        </w:rPr>
        <w:t>Digitized vs. ‘Reborn digital’ sources: A methodological comparison</w:t>
      </w:r>
      <w:r w:rsidRPr="00E46F5A">
        <w:rPr>
          <w:rStyle w:val="eop"/>
          <w:rFonts w:asciiTheme="minorHAnsi" w:hAnsiTheme="minorHAnsi" w:cs="Calibri"/>
          <w:color w:val="000000"/>
        </w:rPr>
        <w:t>  </w:t>
      </w:r>
    </w:p>
    <w:p w14:paraId="6E7D4E14" w14:textId="53C6330B" w:rsidR="00782491" w:rsidRPr="00E46F5A" w:rsidRDefault="00DF7BD6" w:rsidP="00E46F5A">
      <w:pPr>
        <w:spacing w:line="360" w:lineRule="auto"/>
        <w:rPr>
          <w:lang w:val="en-GB"/>
        </w:rPr>
      </w:pPr>
      <w:r w:rsidRPr="00E46F5A">
        <w:rPr>
          <w:rStyle w:val="normaltextrun"/>
          <w:rFonts w:cs="Calibri"/>
          <w:color w:val="000000"/>
          <w:lang w:val="en-US"/>
        </w:rPr>
        <w:t>While the ongoing digitization of historical records has vastly expanded researchers' access to the past, historians must</w:t>
      </w:r>
      <w:r w:rsidRPr="00E46F5A">
        <w:rPr>
          <w:rStyle w:val="apple-converted-space"/>
          <w:rFonts w:cs="Calibri"/>
          <w:color w:val="000000"/>
          <w:lang w:val="en-US"/>
        </w:rPr>
        <w:t> </w:t>
      </w:r>
      <w:r w:rsidRPr="00E46F5A">
        <w:rPr>
          <w:rStyle w:val="normaltextrun"/>
          <w:rFonts w:cs="Calibri"/>
          <w:color w:val="000000"/>
          <w:lang w:val="en-US"/>
        </w:rPr>
        <w:t>maintain</w:t>
      </w:r>
      <w:r w:rsidRPr="00E46F5A">
        <w:rPr>
          <w:rStyle w:val="apple-converted-space"/>
          <w:rFonts w:cs="Calibri"/>
          <w:color w:val="000000"/>
          <w:lang w:val="en-US"/>
        </w:rPr>
        <w:t> </w:t>
      </w:r>
      <w:r w:rsidRPr="00E46F5A">
        <w:rPr>
          <w:rStyle w:val="normaltextrun"/>
          <w:rFonts w:cs="Calibri"/>
          <w:color w:val="000000"/>
          <w:lang w:val="en-US"/>
        </w:rPr>
        <w:t>a sharp methodological awareness when navigating</w:t>
      </w:r>
      <w:r w:rsidRPr="00E46F5A">
        <w:rPr>
          <w:rStyle w:val="apple-converted-space"/>
          <w:rFonts w:cs="Calibri"/>
          <w:color w:val="000000"/>
          <w:lang w:val="en-US"/>
        </w:rPr>
        <w:t> </w:t>
      </w:r>
      <w:r w:rsidRPr="00E46F5A">
        <w:rPr>
          <w:rStyle w:val="normaltextrun"/>
          <w:rFonts w:cs="Calibri"/>
          <w:color w:val="000000"/>
          <w:lang w:val="en-US"/>
        </w:rPr>
        <w:t>different types</w:t>
      </w:r>
      <w:r w:rsidRPr="00E46F5A">
        <w:rPr>
          <w:rStyle w:val="apple-converted-space"/>
          <w:rFonts w:cs="Calibri"/>
          <w:color w:val="000000"/>
          <w:lang w:val="en-US"/>
        </w:rPr>
        <w:t> </w:t>
      </w:r>
      <w:r w:rsidRPr="00E46F5A">
        <w:rPr>
          <w:rStyle w:val="normaltextrun"/>
          <w:rFonts w:cs="Calibri"/>
          <w:color w:val="000000"/>
          <w:lang w:val="en-US"/>
        </w:rPr>
        <w:t>of digital archives. Crucially, digitized historical sources and reborn digital sources demand distinct methodological approaches due to their origins and material constraints. Digitized sources originate as physical artifacts—such as books or letters—whereas</w:t>
      </w:r>
      <w:r w:rsidRPr="00E46F5A">
        <w:rPr>
          <w:rStyle w:val="apple-converted-space"/>
          <w:rFonts w:cs="Calibri"/>
          <w:color w:val="000000"/>
          <w:lang w:val="en-US"/>
        </w:rPr>
        <w:t> </w:t>
      </w:r>
      <w:r w:rsidRPr="00E46F5A">
        <w:rPr>
          <w:rStyle w:val="normaltextrun"/>
          <w:rFonts w:cs="Calibri"/>
          <w:color w:val="000000"/>
          <w:lang w:val="en-US"/>
        </w:rPr>
        <w:t>reborn digital sources from the archived web exist exclusively as fragmented reconstructions of born-digital content. This fundamental difference in ontology becomes particularly clear when directly comparing a digitized collection like the </w:t>
      </w:r>
      <w:r w:rsidRPr="00E46F5A">
        <w:rPr>
          <w:rStyle w:val="normaltextrun"/>
          <w:rFonts w:cs="Calibri"/>
          <w:i/>
          <w:iCs/>
          <w:color w:val="000000"/>
          <w:lang w:val="en-US"/>
        </w:rPr>
        <w:t>Trans-Atlantic Slave Trade Database (Voyages)</w:t>
      </w:r>
      <w:r w:rsidR="004A32FC" w:rsidRPr="00E46F5A">
        <w:rPr>
          <w:rStyle w:val="Fodnotehenvisning"/>
          <w:rFonts w:cs="Calibri"/>
          <w:i/>
          <w:iCs/>
          <w:color w:val="000000"/>
          <w:lang w:val="en-US"/>
        </w:rPr>
        <w:footnoteReference w:id="10"/>
      </w:r>
      <w:r w:rsidRPr="00E46F5A">
        <w:rPr>
          <w:rStyle w:val="normaltextrun"/>
          <w:rFonts w:cs="Calibri"/>
          <w:color w:val="000000"/>
          <w:lang w:val="en-US"/>
        </w:rPr>
        <w:t> with the reborn digital collections preserved within web archives.</w:t>
      </w:r>
      <w:r w:rsidR="00B67EA6" w:rsidRPr="00E46F5A">
        <w:rPr>
          <w:rStyle w:val="Fodnotehenvisning"/>
          <w:lang w:val="en-GB"/>
        </w:rPr>
        <w:footnoteReference w:id="11"/>
      </w:r>
      <w:r w:rsidR="00B67EA6" w:rsidRPr="00E46F5A">
        <w:rPr>
          <w:lang w:val="en-GB"/>
        </w:rPr>
        <w:t xml:space="preserve"> </w:t>
      </w:r>
    </w:p>
    <w:p w14:paraId="2D2CACAD" w14:textId="62930A7F" w:rsidR="00B67EA6" w:rsidRPr="00E46F5A" w:rsidRDefault="00431268" w:rsidP="00E46F5A">
      <w:pPr>
        <w:spacing w:line="360" w:lineRule="auto"/>
        <w:rPr>
          <w:lang w:val="en-GB"/>
        </w:rPr>
      </w:pPr>
      <w:r w:rsidRPr="00E46F5A">
        <w:rPr>
          <w:rStyle w:val="normaltextrun"/>
          <w:rFonts w:cs="Calibri"/>
          <w:color w:val="000000"/>
          <w:lang w:val="en-US"/>
        </w:rPr>
        <w:t>When working with a digitized collection like </w:t>
      </w:r>
      <w:r w:rsidRPr="00E46F5A">
        <w:rPr>
          <w:rStyle w:val="normaltextrun"/>
          <w:rFonts w:cs="Calibri"/>
          <w:i/>
          <w:iCs/>
          <w:color w:val="000000"/>
          <w:lang w:val="en-US"/>
        </w:rPr>
        <w:t>Voyages</w:t>
      </w:r>
      <w:r w:rsidRPr="00E46F5A">
        <w:rPr>
          <w:rStyle w:val="normaltextrun"/>
          <w:rFonts w:cs="Calibri"/>
          <w:color w:val="000000"/>
          <w:lang w:val="en-US"/>
        </w:rPr>
        <w:t>, the primary methodological challenge lies in the translation of physical sources—in this case, historical ship manifests and port records—into quantifiable, structured data.</w:t>
      </w:r>
      <w:r w:rsidRPr="00E46F5A">
        <w:rPr>
          <w:rStyle w:val="Fodnotehenvisning"/>
          <w:rFonts w:cs="Calibri"/>
          <w:color w:val="000000"/>
          <w:lang w:val="en-US"/>
        </w:rPr>
        <w:footnoteReference w:id="12"/>
      </w:r>
      <w:r w:rsidRPr="00E46F5A">
        <w:rPr>
          <w:rStyle w:val="normaltextrun"/>
          <w:rFonts w:cs="Calibri"/>
          <w:color w:val="000000"/>
          <w:lang w:val="en-US"/>
        </w:rPr>
        <w:t xml:space="preserve"> This database fundamentally alters the researcher’s interaction with the original material. While this specific digital architecture allows researchers to effectively track broad geographical and temporal connections across the slave trade using advanced analytical tools,</w:t>
      </w:r>
      <w:r w:rsidRPr="00E46F5A">
        <w:rPr>
          <w:rStyle w:val="apple-converted-space"/>
          <w:rFonts w:cs="Calibri"/>
          <w:color w:val="000000"/>
          <w:lang w:val="en-US"/>
        </w:rPr>
        <w:t> </w:t>
      </w:r>
      <w:r w:rsidRPr="00E46F5A">
        <w:rPr>
          <w:rStyle w:val="normaltextrun"/>
          <w:rFonts w:cs="Calibri"/>
          <w:color w:val="000000"/>
          <w:lang w:val="en-US"/>
        </w:rPr>
        <w:t>the act of datafication is never neutral.</w:t>
      </w:r>
      <w:r w:rsidRPr="00E46F5A">
        <w:rPr>
          <w:rStyle w:val="Fodnotehenvisning"/>
          <w:rFonts w:cs="Calibri"/>
          <w:color w:val="000000"/>
          <w:lang w:val="en-US"/>
        </w:rPr>
        <w:footnoteReference w:id="13"/>
      </w:r>
      <w:r w:rsidRPr="00E46F5A">
        <w:rPr>
          <w:rStyle w:val="normaltextrun"/>
          <w:rFonts w:cs="Calibri"/>
          <w:color w:val="000000"/>
          <w:lang w:val="en-US"/>
        </w:rPr>
        <w:t xml:space="preserve"> As Jessica Marie Johnson warns, reducing the lived experiences of marginalized populations to objective data points within a database interface can inadvertently mirror the dehumanizing, commodifying logic of the slave trade itself.</w:t>
      </w:r>
      <w:r w:rsidRPr="00E46F5A">
        <w:rPr>
          <w:rStyle w:val="Fodnotehenvisning"/>
          <w:rFonts w:cs="Calibri"/>
          <w:color w:val="000000"/>
          <w:lang w:val="en-US"/>
        </w:rPr>
        <w:footnoteReference w:id="14"/>
      </w:r>
      <w:r w:rsidRPr="00E46F5A">
        <w:rPr>
          <w:rStyle w:val="apple-converted-space"/>
          <w:rFonts w:cs="Calibri"/>
          <w:color w:val="000000"/>
          <w:lang w:val="en-US"/>
        </w:rPr>
        <w:t> </w:t>
      </w:r>
      <w:r w:rsidRPr="00E46F5A">
        <w:rPr>
          <w:rStyle w:val="normaltextrun"/>
          <w:rFonts w:cs="Calibri"/>
          <w:color w:val="000000"/>
          <w:lang w:val="en-US"/>
        </w:rPr>
        <w:t>Therefore, when using digitized databases, historians must critically analyze the</w:t>
      </w:r>
      <w:r w:rsidRPr="00E46F5A">
        <w:rPr>
          <w:rStyle w:val="apple-converted-space"/>
          <w:rFonts w:cs="Calibri"/>
          <w:color w:val="000000"/>
          <w:lang w:val="en-US"/>
        </w:rPr>
        <w:t> </w:t>
      </w:r>
      <w:r w:rsidRPr="00E46F5A">
        <w:rPr>
          <w:rStyle w:val="normaltextrun"/>
          <w:rFonts w:cs="Calibri"/>
          <w:color w:val="000000"/>
          <w:lang w:val="en-US"/>
        </w:rPr>
        <w:t>database's</w:t>
      </w:r>
      <w:r w:rsidRPr="00E46F5A">
        <w:rPr>
          <w:rStyle w:val="apple-converted-space"/>
          <w:rFonts w:cs="Calibri"/>
          <w:color w:val="000000"/>
          <w:lang w:val="en-US"/>
        </w:rPr>
        <w:t> </w:t>
      </w:r>
      <w:r w:rsidRPr="00E46F5A">
        <w:rPr>
          <w:rStyle w:val="normaltextrun"/>
          <w:rFonts w:cs="Calibri"/>
          <w:color w:val="000000"/>
          <w:lang w:val="en-US"/>
        </w:rPr>
        <w:t>architecture. They must treat the collection itself as a historical construction,</w:t>
      </w:r>
      <w:r w:rsidRPr="00E46F5A">
        <w:rPr>
          <w:rStyle w:val="apple-converted-space"/>
          <w:rFonts w:cs="Calibri"/>
          <w:color w:val="000000"/>
          <w:lang w:val="en-US"/>
        </w:rPr>
        <w:t> </w:t>
      </w:r>
      <w:r w:rsidRPr="00E46F5A">
        <w:rPr>
          <w:rStyle w:val="normaltextrun"/>
          <w:rFonts w:cs="Calibri"/>
          <w:color w:val="000000"/>
          <w:lang w:val="en-US"/>
        </w:rPr>
        <w:t>remaining</w:t>
      </w:r>
      <w:r w:rsidRPr="00E46F5A">
        <w:rPr>
          <w:rStyle w:val="apple-converted-space"/>
          <w:rFonts w:cs="Calibri"/>
          <w:color w:val="000000"/>
          <w:lang w:val="en-US"/>
        </w:rPr>
        <w:t> </w:t>
      </w:r>
      <w:r w:rsidRPr="00E46F5A">
        <w:rPr>
          <w:rStyle w:val="normaltextrun"/>
          <w:rFonts w:cs="Calibri"/>
          <w:color w:val="000000"/>
          <w:lang w:val="en-US"/>
        </w:rPr>
        <w:t>acutely aware of the nuances, silences, and human elements erased during the translation from physical text to a digital spreadsheet.</w:t>
      </w:r>
      <w:r w:rsidR="00CE241D" w:rsidRPr="00E46F5A">
        <w:rPr>
          <w:lang w:val="en-GB"/>
        </w:rPr>
        <w:t xml:space="preserve"> </w:t>
      </w:r>
    </w:p>
    <w:p w14:paraId="4F0EFCAB" w14:textId="307AC2D9" w:rsidR="00160B76" w:rsidRPr="00E46F5A" w:rsidRDefault="00431268" w:rsidP="00E46F5A">
      <w:pPr>
        <w:spacing w:line="360" w:lineRule="auto"/>
        <w:rPr>
          <w:lang w:val="en-GB"/>
        </w:rPr>
      </w:pPr>
      <w:r w:rsidRPr="00E46F5A">
        <w:rPr>
          <w:rStyle w:val="normaltextrun"/>
          <w:rFonts w:cs="Calibri"/>
          <w:color w:val="000000"/>
          <w:lang w:val="en-US"/>
        </w:rPr>
        <w:lastRenderedPageBreak/>
        <w:t>In contrast, analyzing the reborn digital collections found in web archives presents an entirely</w:t>
      </w:r>
      <w:r w:rsidRPr="00E46F5A">
        <w:rPr>
          <w:rStyle w:val="apple-converted-space"/>
          <w:rFonts w:cs="Calibri"/>
          <w:color w:val="000000"/>
          <w:lang w:val="en-US"/>
        </w:rPr>
        <w:t> </w:t>
      </w:r>
      <w:r w:rsidRPr="00E46F5A">
        <w:rPr>
          <w:rStyle w:val="normaltextrun"/>
          <w:rFonts w:cs="Calibri"/>
          <w:color w:val="000000"/>
          <w:lang w:val="en-US"/>
        </w:rPr>
        <w:t>different set</w:t>
      </w:r>
      <w:r w:rsidRPr="00E46F5A">
        <w:rPr>
          <w:rStyle w:val="apple-converted-space"/>
          <w:rFonts w:cs="Calibri"/>
          <w:color w:val="000000"/>
          <w:lang w:val="en-US"/>
        </w:rPr>
        <w:t> </w:t>
      </w:r>
      <w:r w:rsidRPr="00E46F5A">
        <w:rPr>
          <w:rStyle w:val="normaltextrun"/>
          <w:rFonts w:cs="Calibri"/>
          <w:color w:val="000000"/>
          <w:lang w:val="en-US"/>
        </w:rPr>
        <w:t>of methodological hurdles</w:t>
      </w:r>
      <w:r w:rsidRPr="00E46F5A">
        <w:rPr>
          <w:rStyle w:val="apple-converted-space"/>
          <w:rFonts w:cs="Calibri"/>
          <w:color w:val="000000"/>
          <w:lang w:val="en-US"/>
        </w:rPr>
        <w:t> </w:t>
      </w:r>
      <w:r w:rsidRPr="00E46F5A">
        <w:rPr>
          <w:rStyle w:val="normaltextrun"/>
          <w:rFonts w:cs="Calibri"/>
          <w:color w:val="000000"/>
          <w:lang w:val="en-US"/>
        </w:rPr>
        <w:t>regarding</w:t>
      </w:r>
      <w:r w:rsidRPr="00E46F5A">
        <w:rPr>
          <w:rStyle w:val="apple-converted-space"/>
          <w:rFonts w:cs="Calibri"/>
          <w:color w:val="000000"/>
          <w:lang w:val="en-US"/>
        </w:rPr>
        <w:t> </w:t>
      </w:r>
      <w:r w:rsidRPr="00E46F5A">
        <w:rPr>
          <w:rStyle w:val="normaltextrun"/>
          <w:rFonts w:cs="Calibri"/>
          <w:color w:val="000000"/>
          <w:lang w:val="en-US"/>
        </w:rPr>
        <w:t>provenance and stability. Unlike the </w:t>
      </w:r>
      <w:r w:rsidRPr="00E46F5A">
        <w:rPr>
          <w:rStyle w:val="normaltextrun"/>
          <w:rFonts w:cs="Calibri"/>
          <w:i/>
          <w:iCs/>
          <w:color w:val="000000"/>
          <w:lang w:val="en-US"/>
        </w:rPr>
        <w:t>Voyages</w:t>
      </w:r>
      <w:r w:rsidRPr="00E46F5A">
        <w:rPr>
          <w:rStyle w:val="normaltextrun"/>
          <w:rFonts w:cs="Calibri"/>
          <w:color w:val="000000"/>
          <w:lang w:val="en-US"/>
        </w:rPr>
        <w:t> database, which points back to stable, verifiable physical originals held in traditional archives, an archived web collection lacks a singular, fixed original state.</w:t>
      </w:r>
      <w:r w:rsidRPr="00E46F5A">
        <w:rPr>
          <w:rStyle w:val="apple-converted-space"/>
          <w:rFonts w:cs="Calibri"/>
          <w:color w:val="000000"/>
          <w:lang w:val="en-US"/>
        </w:rPr>
        <w:t> </w:t>
      </w:r>
      <w:r w:rsidRPr="00E46F5A">
        <w:rPr>
          <w:rStyle w:val="normaltextrun"/>
          <w:rFonts w:cs="Calibri"/>
          <w:color w:val="000000"/>
          <w:lang w:val="en-US"/>
        </w:rPr>
        <w:t>As Niels Brügger notes in his assessment of web archives as source repositories, reborn digital sources are inherently dynamic and unstable. Archiving a website is an active reconstruction process dependent on crawling software, meaning the researcher is always interacting with</w:t>
      </w:r>
      <w:r w:rsidRPr="00E46F5A">
        <w:rPr>
          <w:rStyle w:val="apple-converted-space"/>
          <w:rFonts w:cs="Calibri"/>
          <w:color w:val="000000"/>
          <w:lang w:val="en-US"/>
        </w:rPr>
        <w:t> </w:t>
      </w:r>
      <w:r w:rsidRPr="00E46F5A">
        <w:rPr>
          <w:rStyle w:val="normaltextrun"/>
          <w:rFonts w:cs="Calibri"/>
          <w:color w:val="000000"/>
          <w:lang w:val="en-US"/>
        </w:rPr>
        <w:t>a fragmented, technical recreation.</w:t>
      </w:r>
      <w:r w:rsidRPr="00E46F5A">
        <w:rPr>
          <w:rStyle w:val="Fodnotehenvisning"/>
          <w:rFonts w:cs="Calibri"/>
          <w:color w:val="000000"/>
          <w:lang w:val="en-US"/>
        </w:rPr>
        <w:footnoteReference w:id="15"/>
      </w:r>
      <w:r w:rsidRPr="00E46F5A">
        <w:rPr>
          <w:rStyle w:val="normaltextrun"/>
          <w:rFonts w:cs="Calibri"/>
          <w:color w:val="000000"/>
          <w:lang w:val="en-US"/>
        </w:rPr>
        <w:t> When a historian looks at an archived forum or an old webpage, the collected material might suffer from temporal inconsistency—where images, text, and formatting were captured on entirely different dates—or missing links that break the context of the original live web experience.</w:t>
      </w:r>
      <w:r w:rsidRPr="00E46F5A">
        <w:rPr>
          <w:rStyle w:val="eop"/>
          <w:rFonts w:cs="Calibri"/>
          <w:color w:val="000000"/>
        </w:rPr>
        <w:t> </w:t>
      </w:r>
    </w:p>
    <w:p w14:paraId="2DE91A29" w14:textId="65EBF819" w:rsidR="009A20AB" w:rsidRPr="00E46F5A" w:rsidRDefault="00FC74F4" w:rsidP="00E46F5A">
      <w:pPr>
        <w:pStyle w:val="paragraph"/>
        <w:spacing w:before="0" w:beforeAutospacing="0" w:after="0" w:afterAutospacing="0" w:line="360" w:lineRule="auto"/>
        <w:textAlignment w:val="baseline"/>
        <w:rPr>
          <w:rFonts w:asciiTheme="minorHAnsi" w:hAnsiTheme="minorHAnsi" w:cs="Segoe UI"/>
          <w:sz w:val="18"/>
          <w:szCs w:val="18"/>
        </w:rPr>
      </w:pPr>
      <w:r w:rsidRPr="00E46F5A">
        <w:rPr>
          <w:rStyle w:val="normaltextrun"/>
          <w:rFonts w:asciiTheme="minorHAnsi" w:hAnsiTheme="minorHAnsi" w:cs="Calibri"/>
          <w:color w:val="000000"/>
          <w:lang w:val="en-US"/>
        </w:rPr>
        <w:t>Consequently, these two types of digital source collections must be treated fundamentally differently during historical research. Digitized databases like </w:t>
      </w:r>
      <w:r w:rsidRPr="00E46F5A">
        <w:rPr>
          <w:rStyle w:val="normaltextrun"/>
          <w:rFonts w:asciiTheme="minorHAnsi" w:hAnsiTheme="minorHAnsi" w:cs="Calibri"/>
          <w:i/>
          <w:iCs/>
          <w:color w:val="000000"/>
          <w:lang w:val="en-US"/>
        </w:rPr>
        <w:t>Voyages</w:t>
      </w:r>
      <w:r w:rsidRPr="00E46F5A">
        <w:rPr>
          <w:rStyle w:val="normaltextrun"/>
          <w:rFonts w:asciiTheme="minorHAnsi" w:hAnsiTheme="minorHAnsi" w:cs="Calibri"/>
          <w:color w:val="000000"/>
          <w:lang w:val="en-US"/>
        </w:rPr>
        <w:t> require historians to question how the transformation from physical document to digital data abstracts the past and shapes the historical narrative. The critical lens must be focused on data reduction and interface bias. Meanwhile, the reborn digital collections found in web archives require a deep technical</w:t>
      </w:r>
      <w:r w:rsidRPr="00E46F5A">
        <w:rPr>
          <w:rStyle w:val="apple-converted-space"/>
          <w:rFonts w:asciiTheme="minorHAnsi" w:hAnsiTheme="minorHAnsi" w:cs="Calibri"/>
          <w:color w:val="000000"/>
          <w:lang w:val="en-US"/>
        </w:rPr>
        <w:t> </w:t>
      </w:r>
      <w:r w:rsidRPr="00E46F5A">
        <w:rPr>
          <w:rStyle w:val="normaltextrun"/>
          <w:rFonts w:asciiTheme="minorHAnsi" w:hAnsiTheme="minorHAnsi" w:cs="Calibri"/>
          <w:color w:val="000000"/>
          <w:lang w:val="en-US"/>
        </w:rPr>
        <w:t>source</w:t>
      </w:r>
      <w:r w:rsidRPr="00E46F5A">
        <w:rPr>
          <w:rStyle w:val="apple-converted-space"/>
          <w:rFonts w:asciiTheme="minorHAnsi" w:hAnsiTheme="minorHAnsi" w:cs="Calibri"/>
          <w:color w:val="000000"/>
          <w:lang w:val="en-US"/>
        </w:rPr>
        <w:t> </w:t>
      </w:r>
      <w:r w:rsidRPr="00E46F5A">
        <w:rPr>
          <w:rStyle w:val="normaltextrun"/>
          <w:rFonts w:asciiTheme="minorHAnsi" w:hAnsiTheme="minorHAnsi" w:cs="Calibri"/>
          <w:color w:val="000000"/>
          <w:lang w:val="en-US"/>
        </w:rPr>
        <w:t>criticism to understand how archiving software and temporal fragmentation have actively constructed the surviving material.</w:t>
      </w:r>
      <w:r w:rsidRPr="00E46F5A">
        <w:rPr>
          <w:rStyle w:val="apple-converted-space"/>
          <w:rFonts w:asciiTheme="minorHAnsi" w:hAnsiTheme="minorHAnsi" w:cs="Calibri"/>
          <w:color w:val="000000"/>
          <w:lang w:val="en-US"/>
        </w:rPr>
        <w:t> </w:t>
      </w:r>
      <w:r w:rsidRPr="00E46F5A">
        <w:rPr>
          <w:rStyle w:val="normaltextrun"/>
          <w:rFonts w:asciiTheme="minorHAnsi" w:hAnsiTheme="minorHAnsi" w:cs="Calibri"/>
          <w:color w:val="000000"/>
          <w:lang w:val="en-US"/>
        </w:rPr>
        <w:t>Ultimately, the</w:t>
      </w:r>
      <w:r w:rsidRPr="00E46F5A">
        <w:rPr>
          <w:rStyle w:val="apple-converted-space"/>
          <w:rFonts w:asciiTheme="minorHAnsi" w:hAnsiTheme="minorHAnsi" w:cs="Calibri"/>
          <w:color w:val="000000"/>
          <w:lang w:val="en-US"/>
        </w:rPr>
        <w:t> </w:t>
      </w:r>
      <w:r w:rsidRPr="00E46F5A">
        <w:rPr>
          <w:rStyle w:val="normaltextrun"/>
          <w:rFonts w:asciiTheme="minorHAnsi" w:hAnsiTheme="minorHAnsi" w:cs="Calibri"/>
          <w:color w:val="000000"/>
          <w:lang w:val="en-US"/>
        </w:rPr>
        <w:t>digital landscape offers a profound realm of new possibilities, but it requires historians to expand their traditional critical toolkit. They must remember to ask critical questions not only of the textual content of the sources but also of the digital infrastructure and algorithms that preserve them.</w:t>
      </w:r>
    </w:p>
    <w:p w14:paraId="3CA16EEE" w14:textId="77777777" w:rsidR="00574B5F" w:rsidRPr="00E46F5A" w:rsidRDefault="00574B5F" w:rsidP="00E46F5A">
      <w:pPr>
        <w:spacing w:line="360" w:lineRule="auto"/>
        <w:rPr>
          <w:lang w:val="en-GB"/>
        </w:rPr>
      </w:pPr>
    </w:p>
    <w:p w14:paraId="0790ECD1" w14:textId="77777777" w:rsidR="00574B5F" w:rsidRPr="00E46F5A" w:rsidRDefault="00574B5F" w:rsidP="00E46F5A">
      <w:pPr>
        <w:spacing w:line="360" w:lineRule="auto"/>
        <w:rPr>
          <w:lang w:val="en-GB"/>
        </w:rPr>
      </w:pPr>
    </w:p>
    <w:p w14:paraId="04BE09BF" w14:textId="77777777" w:rsidR="00F327A6" w:rsidRPr="00E46F5A" w:rsidRDefault="00F327A6" w:rsidP="00E46F5A">
      <w:pPr>
        <w:spacing w:line="360" w:lineRule="auto"/>
        <w:rPr>
          <w:lang w:val="en-GB"/>
        </w:rPr>
      </w:pPr>
      <w:r w:rsidRPr="00E46F5A">
        <w:rPr>
          <w:lang w:val="en-GB"/>
        </w:rPr>
        <w:br w:type="page"/>
      </w:r>
    </w:p>
    <w:p w14:paraId="59677D3F" w14:textId="2C59A605" w:rsidR="00F327A6" w:rsidRPr="00E46F5A" w:rsidRDefault="00F327A6" w:rsidP="00E46F5A">
      <w:pPr>
        <w:pStyle w:val="Bibliografi"/>
        <w:spacing w:line="360" w:lineRule="auto"/>
        <w:rPr>
          <w:b/>
          <w:bCs/>
          <w:lang w:val="en-GB"/>
        </w:rPr>
      </w:pPr>
      <w:r w:rsidRPr="00E46F5A">
        <w:rPr>
          <w:b/>
          <w:bCs/>
          <w:lang w:val="en-GB"/>
        </w:rPr>
        <w:lastRenderedPageBreak/>
        <w:t>Sources</w:t>
      </w:r>
    </w:p>
    <w:p w14:paraId="46AF59CA" w14:textId="77777777" w:rsidR="00E90CCA" w:rsidRPr="00E46F5A" w:rsidRDefault="00F327A6" w:rsidP="00E46F5A">
      <w:pPr>
        <w:pStyle w:val="Bibliografi"/>
        <w:spacing w:line="360" w:lineRule="auto"/>
      </w:pPr>
      <w:r w:rsidRPr="00E46F5A">
        <w:rPr>
          <w:lang w:val="en-GB"/>
        </w:rPr>
        <w:fldChar w:fldCharType="begin"/>
      </w:r>
      <w:r w:rsidR="00E90CCA" w:rsidRPr="00E46F5A">
        <w:rPr>
          <w:lang w:val="en-GB"/>
        </w:rPr>
        <w:instrText xml:space="preserve"> ADDIN ZOTERO_BIBL {"uncited":[],"omitted":[],"custom":[]} CSL_BIBLIOGRAPHY </w:instrText>
      </w:r>
      <w:r w:rsidRPr="00E46F5A">
        <w:rPr>
          <w:lang w:val="en-GB"/>
        </w:rPr>
        <w:fldChar w:fldCharType="separate"/>
      </w:r>
      <w:r w:rsidR="00E90CCA" w:rsidRPr="00E46F5A">
        <w:t xml:space="preserve">Brügger, Niels. “Understanding the Archived Web as a Historical Source”. I </w:t>
      </w:r>
      <w:r w:rsidR="00E90CCA" w:rsidRPr="00E46F5A">
        <w:rPr>
          <w:i/>
          <w:iCs/>
        </w:rPr>
        <w:t>The SAGE Handbook of web history</w:t>
      </w:r>
      <w:r w:rsidR="00E90CCA" w:rsidRPr="00E46F5A">
        <w:t>, bd. 2019. SAGE, 2019.</w:t>
      </w:r>
    </w:p>
    <w:p w14:paraId="501463A9" w14:textId="77777777" w:rsidR="00E90CCA" w:rsidRPr="00E46F5A" w:rsidRDefault="00E90CCA" w:rsidP="00E46F5A">
      <w:pPr>
        <w:pStyle w:val="Bibliografi"/>
        <w:spacing w:line="360" w:lineRule="auto"/>
      </w:pPr>
      <w:r w:rsidRPr="00E46F5A">
        <w:t>“David P. Boder Interviews Esther Freilich, August 9, 1946, Paris, France”. Set 12. maj 2026. https://iit.aviaryplatform.com/collections/231/collection_resources/17608?fbclid=IwY2xjawRv5AtleHRuA2FlbQIxMQBzcnRjBmFwcF9pZAEwAAEebO-xK7sYG5UhpMb3U79tGoeHz9RnGLqNZqieAMQX3zeN5qkfXpyM6EkIAhU_aem_Ystu_6qqLfts0n7Fc1TTwg.</w:t>
      </w:r>
    </w:p>
    <w:p w14:paraId="39403CF6" w14:textId="77777777" w:rsidR="00E90CCA" w:rsidRPr="00E46F5A" w:rsidRDefault="00E90CCA" w:rsidP="00E46F5A">
      <w:pPr>
        <w:pStyle w:val="Bibliografi"/>
        <w:spacing w:line="360" w:lineRule="auto"/>
      </w:pPr>
      <w:r w:rsidRPr="00E46F5A">
        <w:rPr>
          <w:i/>
          <w:iCs/>
        </w:rPr>
        <w:t>Introduction – Technologies of Testimony and Distant Witnessing – UCLA Holocaust Research Lab</w:t>
      </w:r>
      <w:r w:rsidRPr="00E46F5A">
        <w:t>. u.å. Set 12. maj 2026. https://holocaustresearchlab.com/book/introduction/.</w:t>
      </w:r>
    </w:p>
    <w:p w14:paraId="706F78CA" w14:textId="77777777" w:rsidR="00E90CCA" w:rsidRPr="00E46F5A" w:rsidRDefault="00E90CCA" w:rsidP="00E46F5A">
      <w:pPr>
        <w:pStyle w:val="Bibliografi"/>
        <w:spacing w:line="360" w:lineRule="auto"/>
      </w:pPr>
      <w:r w:rsidRPr="00E46F5A">
        <w:t xml:space="preserve">Jensen, Helle Strandgaard. “Digital Archival Literacy for (All) Historians”. </w:t>
      </w:r>
      <w:r w:rsidRPr="00E46F5A">
        <w:rPr>
          <w:i/>
          <w:iCs/>
        </w:rPr>
        <w:t>Media History</w:t>
      </w:r>
      <w:r w:rsidRPr="00E46F5A">
        <w:t xml:space="preserve"> 27, nr. 2 (2021): 251–65. https://doi.org/10.1080/13688804.2020.1779047.</w:t>
      </w:r>
    </w:p>
    <w:p w14:paraId="7F79CBE6" w14:textId="77777777" w:rsidR="00E90CCA" w:rsidRPr="00E46F5A" w:rsidRDefault="00E90CCA" w:rsidP="00E46F5A">
      <w:pPr>
        <w:pStyle w:val="Bibliografi"/>
        <w:spacing w:line="360" w:lineRule="auto"/>
      </w:pPr>
      <w:r w:rsidRPr="00E46F5A">
        <w:t xml:space="preserve">Johnson, Jessica Marie. “Markup Bodies”. </w:t>
      </w:r>
      <w:r w:rsidRPr="00E46F5A">
        <w:rPr>
          <w:i/>
          <w:iCs/>
        </w:rPr>
        <w:t>Social Text</w:t>
      </w:r>
      <w:r w:rsidRPr="00E46F5A">
        <w:t xml:space="preserve"> 36, nr. 4 (2018): 57–79. https://doi.org/10.1215/01642472-7145658.</w:t>
      </w:r>
    </w:p>
    <w:p w14:paraId="7E9033C2" w14:textId="77777777" w:rsidR="00E90CCA" w:rsidRPr="00E46F5A" w:rsidRDefault="00E90CCA" w:rsidP="00E46F5A">
      <w:pPr>
        <w:pStyle w:val="Bibliografi"/>
        <w:spacing w:line="360" w:lineRule="auto"/>
      </w:pPr>
      <w:r w:rsidRPr="00E46F5A">
        <w:t xml:space="preserve">Kelley, Sean M. “DB or Not DB: Writing the History of the Slave Trade to North America in the Era of the Database”. </w:t>
      </w:r>
      <w:r w:rsidRPr="00E46F5A">
        <w:rPr>
          <w:i/>
          <w:iCs/>
        </w:rPr>
        <w:t>History Compass</w:t>
      </w:r>
      <w:r w:rsidRPr="00E46F5A">
        <w:t xml:space="preserve"> 17, nr. 5 (2019): e12530. https://doi.org/10.1111/hic3.12530.</w:t>
      </w:r>
    </w:p>
    <w:p w14:paraId="7D1E8765" w14:textId="77777777" w:rsidR="00E90CCA" w:rsidRPr="00E46F5A" w:rsidRDefault="00E90CCA" w:rsidP="00E46F5A">
      <w:pPr>
        <w:pStyle w:val="Bibliografi"/>
        <w:spacing w:line="360" w:lineRule="auto"/>
      </w:pPr>
      <w:r w:rsidRPr="00E46F5A">
        <w:t>“Trans-Atlantic Slave Voyages Timelapse Map”. Set 26. april 2026. https://www.slavevoyages.org/voyage/trans-atlantic#timelapse.</w:t>
      </w:r>
    </w:p>
    <w:p w14:paraId="7E3979F9" w14:textId="173D1984" w:rsidR="004848EC" w:rsidRPr="004848EC" w:rsidRDefault="00F327A6" w:rsidP="00E46F5A">
      <w:pPr>
        <w:pStyle w:val="Bibliografi"/>
        <w:spacing w:line="360" w:lineRule="auto"/>
        <w:rPr>
          <w:lang w:val="en-GB"/>
        </w:rPr>
      </w:pPr>
      <w:r w:rsidRPr="00E46F5A">
        <w:rPr>
          <w:lang w:val="en-GB"/>
        </w:rPr>
        <w:fldChar w:fldCharType="end"/>
      </w:r>
    </w:p>
    <w:sectPr w:rsidR="004848EC" w:rsidRPr="004848EC">
      <w:pgSz w:w="11906" w:h="16838"/>
      <w:pgMar w:top="1701" w:right="1134" w:bottom="1701"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7FD9A3" w14:textId="77777777" w:rsidR="00EF0F70" w:rsidRDefault="00EF0F70" w:rsidP="00BA5AA2">
      <w:pPr>
        <w:spacing w:after="0" w:line="240" w:lineRule="auto"/>
      </w:pPr>
      <w:r>
        <w:separator/>
      </w:r>
    </w:p>
  </w:endnote>
  <w:endnote w:type="continuationSeparator" w:id="0">
    <w:p w14:paraId="6BFCE1D2" w14:textId="77777777" w:rsidR="00EF0F70" w:rsidRDefault="00EF0F70" w:rsidP="00BA5A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D09277" w14:textId="77777777" w:rsidR="00EF0F70" w:rsidRDefault="00EF0F70" w:rsidP="00BA5AA2">
      <w:pPr>
        <w:spacing w:after="0" w:line="240" w:lineRule="auto"/>
      </w:pPr>
      <w:r>
        <w:separator/>
      </w:r>
    </w:p>
  </w:footnote>
  <w:footnote w:type="continuationSeparator" w:id="0">
    <w:p w14:paraId="7250AFF4" w14:textId="77777777" w:rsidR="00EF0F70" w:rsidRDefault="00EF0F70" w:rsidP="00BA5AA2">
      <w:pPr>
        <w:spacing w:after="0" w:line="240" w:lineRule="auto"/>
      </w:pPr>
      <w:r>
        <w:continuationSeparator/>
      </w:r>
    </w:p>
  </w:footnote>
  <w:footnote w:id="1">
    <w:p w14:paraId="46488EE8" w14:textId="7A1DBDE4" w:rsidR="00BA5AA2" w:rsidRDefault="00BA5AA2">
      <w:pPr>
        <w:pStyle w:val="Fodnotetekst"/>
      </w:pPr>
      <w:r>
        <w:rPr>
          <w:rStyle w:val="Fodnotehenvisning"/>
        </w:rPr>
        <w:footnoteRef/>
      </w:r>
      <w:r>
        <w:t xml:space="preserve"> </w:t>
      </w:r>
      <w:r>
        <w:fldChar w:fldCharType="begin"/>
      </w:r>
      <w:r>
        <w:instrText xml:space="preserve"> ADDIN ZOTERO_ITEM CSL_CITATION {"citationID":"57gTIaSM","properties":{"formattedCitation":"Helle Strandgaard Jensen, \\uc0\\u8220{}Digital Archival Literacy for (All) Historians\\uc0\\u8221{}, {\\i{}Media History} 27, nr. 2 (2021): 3, https://doi.org/10.1080/13688804.2020.1779047.","plainCitation":"Helle Strandgaard Jensen, “Digital Archival Literacy for (All) Historians”, Media History 27, nr. 2 (2021): 3, https://doi.org/10.1080/13688804.2020.1779047.","noteIndex":1},"citationItems":[{"id":103,"uris":["http://zotero.org/users/18667687/items/GNNHKUPE"],"itemData":{"id":103,"type":"article-journal","container-title":"Media History","DOI":"10.1080/13688804.2020.1779047","ISSN":"1368-8804, 1469-9729","issue":"2","journalAbbreviation":"Media History","language":"en","page":"251-265","source":"DOI.org (Crossref)","title":"Digital Archival Literacy for (All) Historians","volume":"27","author":[{"family":"Jensen","given":"Helle Strandgaard"}],"issued":{"date-parts":[["2021",4,3]]}},"locator":"3","label":"page"}],"schema":"https://github.com/citation-style-language/schema/raw/master/csl-citation.json"} </w:instrText>
      </w:r>
      <w:r>
        <w:fldChar w:fldCharType="separate"/>
      </w:r>
      <w:r w:rsidRPr="00BA5AA2">
        <w:rPr>
          <w:rFonts w:ascii="Aptos" w:cs="Times New Roman"/>
          <w:kern w:val="0"/>
        </w:rPr>
        <w:t xml:space="preserve">Helle Strandgaard Jensen, “Digital Archival Literacy for (All) Historians”, </w:t>
      </w:r>
      <w:r w:rsidRPr="00BA5AA2">
        <w:rPr>
          <w:rFonts w:ascii="Aptos" w:cs="Times New Roman"/>
          <w:i/>
          <w:iCs/>
          <w:kern w:val="0"/>
        </w:rPr>
        <w:t>Media History</w:t>
      </w:r>
      <w:r w:rsidRPr="00BA5AA2">
        <w:rPr>
          <w:rFonts w:ascii="Aptos" w:cs="Times New Roman"/>
          <w:kern w:val="0"/>
        </w:rPr>
        <w:t xml:space="preserve"> 27, nr. 2 (2021): 3, https://doi.org/10.1080/13688804.2020.1779047.</w:t>
      </w:r>
      <w:r>
        <w:fldChar w:fldCharType="end"/>
      </w:r>
    </w:p>
  </w:footnote>
  <w:footnote w:id="2">
    <w:p w14:paraId="1B76B0DB" w14:textId="77777777" w:rsidR="00D07478" w:rsidRDefault="00D07478" w:rsidP="00D07478">
      <w:pPr>
        <w:pStyle w:val="Fodnotetekst"/>
      </w:pPr>
      <w:r>
        <w:rPr>
          <w:rStyle w:val="Fodnotehenvisning"/>
        </w:rPr>
        <w:footnoteRef/>
      </w:r>
      <w:r>
        <w:t xml:space="preserve"> </w:t>
      </w:r>
      <w:r>
        <w:fldChar w:fldCharType="begin"/>
      </w:r>
      <w:r>
        <w:instrText xml:space="preserve"> ADDIN ZOTERO_ITEM CSL_CITATION {"citationID":"5JHdlybP","properties":{"formattedCitation":"Jensen, \\uc0\\u8220{}Digital Archival Literacy for (All) Historians\\uc0\\u8221{}, 4.","plainCitation":"Jensen, “Digital Archival Literacy for (All) Historians”, 4.","noteIndex":2},"citationItems":[{"id":103,"uris":["http://zotero.org/users/18667687/items/GNNHKUPE"],"itemData":{"id":103,"type":"article-journal","container-title":"Media History","DOI":"10.1080/13688804.2020.1779047","ISSN":"1368-8804, 1469-9729","issue":"2","journalAbbreviation":"Media History","language":"en","page":"251-265","source":"DOI.org (Crossref)","title":"Digital Archival Literacy for (All) Historians","volume":"27","author":[{"family":"Jensen","given":"Helle Strandgaard"}],"issued":{"date-parts":[["2021",4,3]]}},"locator":"4","label":"page"}],"schema":"https://github.com/citation-style-language/schema/raw/master/csl-citation.json"} </w:instrText>
      </w:r>
      <w:r>
        <w:fldChar w:fldCharType="separate"/>
      </w:r>
      <w:r w:rsidRPr="00FA4E04">
        <w:rPr>
          <w:rFonts w:ascii="Aptos" w:cs="Times New Roman"/>
          <w:kern w:val="0"/>
        </w:rPr>
        <w:t>Jensen, “Digital Archival Literacy for (All) Historians”, 4.</w:t>
      </w:r>
      <w:r>
        <w:fldChar w:fldCharType="end"/>
      </w:r>
    </w:p>
  </w:footnote>
  <w:footnote w:id="3">
    <w:p w14:paraId="123F8532" w14:textId="77777777" w:rsidR="00D07478" w:rsidRDefault="00D07478" w:rsidP="00D07478">
      <w:pPr>
        <w:pStyle w:val="Fodnotetekst"/>
      </w:pPr>
      <w:r>
        <w:rPr>
          <w:rStyle w:val="Fodnotehenvisning"/>
        </w:rPr>
        <w:footnoteRef/>
      </w:r>
      <w:r>
        <w:t xml:space="preserve"> </w:t>
      </w:r>
      <w:r>
        <w:fldChar w:fldCharType="begin"/>
      </w:r>
      <w:r>
        <w:instrText xml:space="preserve"> ADDIN ZOTERO_ITEM CSL_CITATION {"citationID":"d9sIeL7g","properties":{"formattedCitation":"Jensen, \\uc0\\u8220{}Digital Archival Literacy for (All) Historians\\uc0\\u8221{}, 4.","plainCitation":"Jensen, “Digital Archival Literacy for (All) Historians”, 4.","noteIndex":3},"citationItems":[{"id":103,"uris":["http://zotero.org/users/18667687/items/GNNHKUPE"],"itemData":{"id":103,"type":"article-journal","container-title":"Media History","DOI":"10.1080/13688804.2020.1779047","ISSN":"1368-8804, 1469-9729","issue":"2","journalAbbreviation":"Media History","language":"en","page":"251-265","source":"DOI.org (Crossref)","title":"Digital Archival Literacy for (All) Historians","volume":"27","author":[{"family":"Jensen","given":"Helle Strandgaard"}],"issued":{"date-parts":[["2021",4,3]]}},"locator":"4","label":"page"}],"schema":"https://github.com/citation-style-language/schema/raw/master/csl-citation.json"} </w:instrText>
      </w:r>
      <w:r>
        <w:fldChar w:fldCharType="separate"/>
      </w:r>
      <w:r w:rsidRPr="00FA4E04">
        <w:rPr>
          <w:rFonts w:ascii="Aptos" w:cs="Times New Roman"/>
          <w:kern w:val="0"/>
        </w:rPr>
        <w:t>Jensen, “Digital Archival Literacy for (All) Historians”, 4.</w:t>
      </w:r>
      <w:r>
        <w:fldChar w:fldCharType="end"/>
      </w:r>
    </w:p>
  </w:footnote>
  <w:footnote w:id="4">
    <w:p w14:paraId="5D612E8E" w14:textId="77777777" w:rsidR="00F2757E" w:rsidRDefault="00F2757E" w:rsidP="00F2757E">
      <w:pPr>
        <w:pStyle w:val="Fodnotetekst"/>
      </w:pPr>
      <w:r>
        <w:rPr>
          <w:rStyle w:val="Fodnotehenvisning"/>
        </w:rPr>
        <w:footnoteRef/>
      </w:r>
      <w:r>
        <w:t xml:space="preserve"> </w:t>
      </w:r>
      <w:r>
        <w:fldChar w:fldCharType="begin"/>
      </w:r>
      <w:r>
        <w:instrText xml:space="preserve"> ADDIN ZOTERO_ITEM CSL_CITATION {"citationID":"mC4dIqiX","properties":{"formattedCitation":"Jensen, \\uc0\\u8220{}Digital Archival Literacy for (All) Historians\\uc0\\u8221{}, 8.","plainCitation":"Jensen, “Digital Archival Literacy for (All) Historians”, 8.","noteIndex":4},"citationItems":[{"id":103,"uris":["http://zotero.org/users/18667687/items/GNNHKUPE"],"itemData":{"id":103,"type":"article-journal","container-title":"Media History","DOI":"10.1080/13688804.2020.1779047","ISSN":"1368-8804, 1469-9729","issue":"2","journalAbbreviation":"Media History","language":"en","page":"251-265","source":"DOI.org (Crossref)","title":"Digital Archival Literacy for (All) Historians","volume":"27","author":[{"family":"Jensen","given":"Helle Strandgaard"}],"issued":{"date-parts":[["2021",4,3]]}},"locator":"8","label":"page"}],"schema":"https://github.com/citation-style-language/schema/raw/master/csl-citation.json"} </w:instrText>
      </w:r>
      <w:r>
        <w:fldChar w:fldCharType="separate"/>
      </w:r>
      <w:r w:rsidRPr="009A4C4F">
        <w:rPr>
          <w:rFonts w:ascii="Aptos" w:cs="Times New Roman"/>
          <w:kern w:val="0"/>
        </w:rPr>
        <w:t>Jensen, “Digital Archival Literacy for (All) Historians”, 8.</w:t>
      </w:r>
      <w:r>
        <w:fldChar w:fldCharType="end"/>
      </w:r>
    </w:p>
  </w:footnote>
  <w:footnote w:id="5">
    <w:p w14:paraId="666A16BE" w14:textId="6952B75A" w:rsidR="00E90CCA" w:rsidRDefault="00E90CCA" w:rsidP="00E90CCA">
      <w:pPr>
        <w:pStyle w:val="Fodnotetekst"/>
      </w:pPr>
      <w:r>
        <w:rPr>
          <w:rStyle w:val="Fodnotehenvisning"/>
        </w:rPr>
        <w:footnoteRef/>
      </w:r>
      <w:r>
        <w:t xml:space="preserve"> </w:t>
      </w:r>
      <w:r>
        <w:fldChar w:fldCharType="begin"/>
      </w:r>
      <w:r>
        <w:instrText xml:space="preserve"> ADDIN ZOTERO_ITEM CSL_CITATION {"citationID":"zwbdmM0R","properties":{"formattedCitation":"\\uc0\\u8220{}David P. Boder Interviews Esther Freilich, August 9, 1946, Paris, France\\uc0\\u8221{}, set 12. maj 2026, https://iit.aviaryplatform.com/collections/231/collection_resources/17608?fbclid=IwY2xjawRv5AtleHRuA2FlbQIxMQBzcnRjBmFwcF9pZAEwAAEebO-xK7sYG5UhpMb3U79tGoeHz9RnGLqNZqieAMQX3zeN5qkfXpyM6EkIAhU_aem_Ystu_6qqLfts0n7Fc1TTwg.","plainCitation":"“David P. Boder Interviews Esther Freilich, August 9, 1946, Paris, France”, set 12. maj 2026, https://iit.aviaryplatform.com/collections/231/collection_resources/17608?fbclid=IwY2xjawRv5AtleHRuA2FlbQIxMQBzcnRjBmFwcF9pZAEwAAEebO-xK7sYG5UhpMb3U79tGoeHz9RnGLqNZqieAMQX3zeN5qkfXpyM6EkIAhU_aem_Ystu_6qqLfts0n7Fc1TTwg.","noteIndex":5},"citationItems":[{"id":119,"uris":["http://zotero.org/users/18667687/items/975YQGND"],"itemData":{"id":119,"type":"webpage","abstract":"Interview with Esther Freilich conducted by David P. Boder on August 9, 1946 at the Jewish Committee home for adult Jewish refugees in Paris, France.","language":"en-US","title":"David P. Boder Interviews Esther Freilich, August 9, 1946, Paris, France","URL":"https://iit.aviaryplatform.com/collections/231/collection_resources/17608?fbclid=IwY2xjawRv5AtleHRuA2FlbQIxMQBzcnRjBmFwcF9pZAEwAAEebO-xK7sYG5UhpMb3U79tGoeHz9RnGLqNZqieAMQX3zeN5qkfXpyM6EkIAhU_aem_Ystu_6qqLfts0n7Fc1TTwg","accessed":{"date-parts":[["2026",5,12]]}}}],"schema":"https://github.com/citation-style-language/schema/raw/master/csl-citation.json"} </w:instrText>
      </w:r>
      <w:r>
        <w:fldChar w:fldCharType="separate"/>
      </w:r>
      <w:r w:rsidRPr="008E4869">
        <w:rPr>
          <w:rFonts w:ascii="Aptos Display" w:cs="Times New Roman"/>
        </w:rPr>
        <w:t>“</w:t>
      </w:r>
      <w:r w:rsidRPr="008E4869">
        <w:rPr>
          <w:rFonts w:ascii="Aptos Display" w:cs="Times New Roman"/>
        </w:rPr>
        <w:t>David P. Boder Interviews Esther Freilich, August 9, 1946, Paris, France</w:t>
      </w:r>
      <w:r w:rsidRPr="008E4869">
        <w:rPr>
          <w:rFonts w:ascii="Aptos Display" w:cs="Times New Roman"/>
        </w:rPr>
        <w:t>”</w:t>
      </w:r>
      <w:r w:rsidRPr="008E4869">
        <w:rPr>
          <w:rFonts w:ascii="Aptos Display" w:cs="Times New Roman"/>
        </w:rPr>
        <w:t>, set 12. maj 2026, https://iit.aviaryplatform.com/collections/231/collection_resources/17608?fbclid=IwY2xjawRv5AtleHRuA2FlbQIxMQBzcnRjBmFwcF9pZAEwAAEebO-xK7sYG5UhpMb3U79tGoeHz9RnGLqNZqieAMQX3zeN5qkfXpyM6EkIAhU_aem_Ystu_6qqLfts0n7Fc1TTwg.</w:t>
      </w:r>
      <w:r>
        <w:fldChar w:fldCharType="end"/>
      </w:r>
    </w:p>
  </w:footnote>
  <w:footnote w:id="6">
    <w:p w14:paraId="0EF755A9" w14:textId="33182233" w:rsidR="00E90CCA" w:rsidRDefault="00E90CCA" w:rsidP="00E90CCA">
      <w:pPr>
        <w:pStyle w:val="Fodnotetekst"/>
      </w:pPr>
      <w:r>
        <w:rPr>
          <w:rStyle w:val="Fodnotehenvisning"/>
        </w:rPr>
        <w:footnoteRef/>
      </w:r>
      <w:r>
        <w:t xml:space="preserve"> </w:t>
      </w:r>
      <w:r>
        <w:fldChar w:fldCharType="begin"/>
      </w:r>
      <w:r>
        <w:instrText xml:space="preserve"> ADDIN ZOTERO_ITEM CSL_CITATION {"citationID":"urAYQ5ft","properties":{"formattedCitation":"\\uc0\\u8220{}David P. Boder Interviews Esther Freilich, August 9, 1946, Paris, France\\uc0\\u8221{}.","plainCitation":"“David P. Boder Interviews Esther Freilich, August 9, 1946, Paris, France”.","noteIndex":6},"citationItems":[{"id":119,"uris":["http://zotero.org/users/18667687/items/975YQGND"],"itemData":{"id":119,"type":"webpage","abstract":"Interview with Esther Freilich conducted by David P. Boder on August 9, 1946 at the Jewish Committee home for adult Jewish refugees in Paris, France.","language":"en-US","title":"David P. Boder Interviews Esther Freilich, August 9, 1946, Paris, France","URL":"https://iit.aviaryplatform.com/collections/231/collection_resources/17608?fbclid=IwY2xjawRv5AtleHRuA2FlbQIxMQBzcnRjBmFwcF9pZAEwAAEebO-xK7sYG5UhpMb3U79tGoeHz9RnGLqNZqieAMQX3zeN5qkfXpyM6EkIAhU_aem_Ystu_6qqLfts0n7Fc1TTwg","accessed":{"date-parts":[["2026",5,12]]}}}],"schema":"https://github.com/citation-style-language/schema/raw/master/csl-citation.json"} </w:instrText>
      </w:r>
      <w:r>
        <w:fldChar w:fldCharType="separate"/>
      </w:r>
      <w:r w:rsidRPr="008E4869">
        <w:rPr>
          <w:rFonts w:ascii="Aptos Display" w:cs="Times New Roman"/>
        </w:rPr>
        <w:t>“</w:t>
      </w:r>
      <w:r w:rsidRPr="008E4869">
        <w:rPr>
          <w:rFonts w:ascii="Aptos Display" w:cs="Times New Roman"/>
        </w:rPr>
        <w:t>David P. Boder Interviews Esther Freilich, August 9, 1946, Paris, France</w:t>
      </w:r>
      <w:r w:rsidRPr="008E4869">
        <w:rPr>
          <w:rFonts w:ascii="Aptos Display" w:cs="Times New Roman"/>
        </w:rPr>
        <w:t>”</w:t>
      </w:r>
      <w:r w:rsidRPr="008E4869">
        <w:rPr>
          <w:rFonts w:ascii="Aptos Display" w:cs="Times New Roman"/>
        </w:rPr>
        <w:t>.</w:t>
      </w:r>
      <w:r>
        <w:fldChar w:fldCharType="end"/>
      </w:r>
    </w:p>
  </w:footnote>
  <w:footnote w:id="7">
    <w:p w14:paraId="419DF7AE" w14:textId="6A808F7C" w:rsidR="00E90CCA" w:rsidRDefault="00E90CCA" w:rsidP="00E90CCA">
      <w:pPr>
        <w:pStyle w:val="Fodnotetekst"/>
      </w:pPr>
      <w:r>
        <w:rPr>
          <w:rStyle w:val="Fodnotehenvisning"/>
        </w:rPr>
        <w:footnoteRef/>
      </w:r>
      <w:r>
        <w:t xml:space="preserve"> </w:t>
      </w:r>
      <w:r>
        <w:fldChar w:fldCharType="begin"/>
      </w:r>
      <w:r>
        <w:instrText xml:space="preserve"> ADDIN ZOTERO_ITEM CSL_CITATION {"citationID":"yUwqvxgg","properties":{"formattedCitation":"\\uc0\\u8220{}David P. Boder Interviews Esther Freilich, August 9, 1946, Paris, France\\uc0\\u8221{}.","plainCitation":"“David P. Boder Interviews Esther Freilich, August 9, 1946, Paris, France”.","noteIndex":7},"citationItems":[{"id":119,"uris":["http://zotero.org/users/18667687/items/975YQGND"],"itemData":{"id":119,"type":"webpage","abstract":"Interview with Esther Freilich conducted by David P. Boder on August 9, 1946 at the Jewish Committee home for adult Jewish refugees in Paris, France.","language":"en-US","title":"David P. Boder Interviews Esther Freilich, August 9, 1946, Paris, France","URL":"https://iit.aviaryplatform.com/collections/231/collection_resources/17608?fbclid=IwY2xjawRv5AtleHRuA2FlbQIxMQBzcnRjBmFwcF9pZAEwAAEebO-xK7sYG5UhpMb3U79tGoeHz9RnGLqNZqieAMQX3zeN5qkfXpyM6EkIAhU_aem_Ystu_6qqLfts0n7Fc1TTwg","accessed":{"date-parts":[["2026",5,12]]}}}],"schema":"https://github.com/citation-style-language/schema/raw/master/csl-citation.json"} </w:instrText>
      </w:r>
      <w:r>
        <w:fldChar w:fldCharType="separate"/>
      </w:r>
      <w:r w:rsidRPr="008E4869">
        <w:rPr>
          <w:rFonts w:ascii="Aptos Display" w:cs="Times New Roman"/>
        </w:rPr>
        <w:t>“</w:t>
      </w:r>
      <w:r w:rsidRPr="008E4869">
        <w:rPr>
          <w:rFonts w:ascii="Aptos Display" w:cs="Times New Roman"/>
        </w:rPr>
        <w:t>David P. Boder Interviews Esther Freilich, August 9, 1946, Paris, France</w:t>
      </w:r>
      <w:r w:rsidRPr="008E4869">
        <w:rPr>
          <w:rFonts w:ascii="Aptos Display" w:cs="Times New Roman"/>
        </w:rPr>
        <w:t>”</w:t>
      </w:r>
      <w:r w:rsidRPr="008E4869">
        <w:rPr>
          <w:rFonts w:ascii="Aptos Display" w:cs="Times New Roman"/>
        </w:rPr>
        <w:t>.</w:t>
      </w:r>
      <w:r>
        <w:fldChar w:fldCharType="end"/>
      </w:r>
    </w:p>
  </w:footnote>
  <w:footnote w:id="8">
    <w:p w14:paraId="4CC5E99E" w14:textId="01B3FA7C" w:rsidR="00E90CCA" w:rsidRDefault="00E90CCA">
      <w:pPr>
        <w:pStyle w:val="Fodnotetekst"/>
      </w:pPr>
      <w:r>
        <w:rPr>
          <w:rStyle w:val="Fodnotehenvisning"/>
        </w:rPr>
        <w:footnoteRef/>
      </w:r>
      <w:r>
        <w:t xml:space="preserve"> </w:t>
      </w:r>
      <w:r>
        <w:fldChar w:fldCharType="begin"/>
      </w:r>
      <w:r>
        <w:instrText xml:space="preserve"> ADDIN ZOTERO_ITEM CSL_CITATION {"citationID":"JguXKdjv","properties":{"formattedCitation":"{\\i{}Introduction \\uc0\\u8211{} Technologies of Testimony and Distant Witnessing \\uc0\\u8211{} UCLA Holocaust Research Lab}, u.\\uc0\\u229{}., set 12. maj 2026, https://holocaustresearchlab.com/book/introduction/.","plainCitation":"Introduction – Technologies of Testimony and Distant Witnessing – UCLA Holocaust Research Lab, u.å., set 12. maj 2026, https://holocaustresearchlab.com/book/introduction/.","noteIndex":8},"citationItems":[{"id":123,"uris":["http://zotero.org/users/18667687/items/9P8YDEYR"],"itemData":{"id":123,"type":"post-weblog","language":"en-US","title":"Introduction – Technologies of Testimony and Distant Witnessing – UCLA Holocaust Research Lab","URL":"https://holocaustresearchlab.com/book/introduction/","accessed":{"date-parts":[["2026",5,12]]}}}],"schema":"https://github.com/citation-style-language/schema/raw/master/csl-citation.json"} </w:instrText>
      </w:r>
      <w:r>
        <w:fldChar w:fldCharType="separate"/>
      </w:r>
      <w:r w:rsidRPr="00E90CCA">
        <w:rPr>
          <w:rFonts w:ascii="Aptos" w:cs="Times New Roman"/>
          <w:i/>
          <w:iCs/>
          <w:kern w:val="0"/>
        </w:rPr>
        <w:t>Introduction – Technologies of Testimony and Distant Witnessing – UCLA Holocaust Research Lab</w:t>
      </w:r>
      <w:r w:rsidRPr="00E90CCA">
        <w:rPr>
          <w:rFonts w:ascii="Aptos" w:cs="Times New Roman"/>
          <w:kern w:val="0"/>
        </w:rPr>
        <w:t>, u.å., set 12. maj 2026, https://holocaustresearchlab.com/book/introduction/.</w:t>
      </w:r>
      <w:r>
        <w:fldChar w:fldCharType="end"/>
      </w:r>
    </w:p>
  </w:footnote>
  <w:footnote w:id="9">
    <w:p w14:paraId="2D6984E5" w14:textId="16AE5EB7" w:rsidR="00E90CCA" w:rsidRDefault="00E90CCA" w:rsidP="00E90CCA">
      <w:pPr>
        <w:pStyle w:val="Fodnotetekst"/>
      </w:pPr>
      <w:r>
        <w:rPr>
          <w:rStyle w:val="Fodnotehenvisning"/>
        </w:rPr>
        <w:footnoteRef/>
      </w:r>
      <w:r>
        <w:t xml:space="preserve"> </w:t>
      </w:r>
      <w:r>
        <w:fldChar w:fldCharType="begin"/>
      </w:r>
      <w:r>
        <w:instrText xml:space="preserve"> ADDIN ZOTERO_ITEM CSL_CITATION {"citationID":"9aTHD22X","properties":{"formattedCitation":"\\uc0\\u8220{}David P. Boder Interviews Esther Freilich, August 9, 1946, Paris, France\\uc0\\u8221{}.","plainCitation":"“David P. Boder Interviews Esther Freilich, August 9, 1946, Paris, France”.","noteIndex":9},"citationItems":[{"id":119,"uris":["http://zotero.org/users/18667687/items/975YQGND"],"itemData":{"id":119,"type":"webpage","abstract":"Interview with Esther Freilich conducted by David P. Boder on August 9, 1946 at the Jewish Committee home for adult Jewish refugees in Paris, France.","language":"en-US","title":"David P. Boder Interviews Esther Freilich, August 9, 1946, Paris, France","URL":"https://iit.aviaryplatform.com/collections/231/collection_resources/17608?fbclid=IwY2xjawRv5AtleHRuA2FlbQIxMQBzcnRjBmFwcF9pZAEwAAEebO-xK7sYG5UhpMb3U79tGoeHz9RnGLqNZqieAMQX3zeN5qkfXpyM6EkIAhU_aem_Ystu_6qqLfts0n7Fc1TTwg","accessed":{"date-parts":[["2026",5,12]]}}}],"schema":"https://github.com/citation-style-language/schema/raw/master/csl-citation.json"} </w:instrText>
      </w:r>
      <w:r>
        <w:fldChar w:fldCharType="separate"/>
      </w:r>
      <w:r w:rsidRPr="008E4869">
        <w:rPr>
          <w:rFonts w:ascii="Aptos Display" w:cs="Times New Roman"/>
        </w:rPr>
        <w:t>“</w:t>
      </w:r>
      <w:r w:rsidRPr="008E4869">
        <w:rPr>
          <w:rFonts w:ascii="Aptos Display" w:cs="Times New Roman"/>
        </w:rPr>
        <w:t>David P. Boder Interviews Esther Freilich, August 9, 1946, Paris, France</w:t>
      </w:r>
      <w:r w:rsidRPr="008E4869">
        <w:rPr>
          <w:rFonts w:ascii="Aptos Display" w:cs="Times New Roman"/>
        </w:rPr>
        <w:t>”</w:t>
      </w:r>
      <w:r w:rsidRPr="008E4869">
        <w:rPr>
          <w:rFonts w:ascii="Aptos Display" w:cs="Times New Roman"/>
        </w:rPr>
        <w:t>.</w:t>
      </w:r>
      <w:r>
        <w:fldChar w:fldCharType="end"/>
      </w:r>
    </w:p>
  </w:footnote>
  <w:footnote w:id="10">
    <w:p w14:paraId="75A10AF4" w14:textId="3000F0F6" w:rsidR="004A32FC" w:rsidRDefault="004A32FC">
      <w:pPr>
        <w:pStyle w:val="Fodnotetekst"/>
      </w:pPr>
      <w:r>
        <w:rPr>
          <w:rStyle w:val="Fodnotehenvisning"/>
        </w:rPr>
        <w:footnoteRef/>
      </w:r>
      <w:r>
        <w:t xml:space="preserve"> </w:t>
      </w:r>
      <w:r>
        <w:fldChar w:fldCharType="begin"/>
      </w:r>
      <w:r w:rsidR="00E90CCA">
        <w:instrText xml:space="preserve"> ADDIN ZOTERO_ITEM CSL_CITATION {"citationID":"iQSpyr6r","properties":{"formattedCitation":"\\uc0\\u8220{}Trans-Atlantic Slave Voyages Timelapse Map\\uc0\\u8221{}, set 26. april 2026, https://www.slavevoyages.org/voyage/trans-atlantic#timelapse.","plainCitation":"“Trans-Atlantic Slave Voyages Timelapse Map”, set 26. april 2026, https://www.slavevoyages.org/voyage/trans-atlantic#timelapse.","noteIndex":10},"citationItems":[{"id":111,"uris":["http://zotero.org/users/18667687/items/WSNRT9C6"],"itemData":{"id":111,"type":"webpage","abstract":"Explore the Trans-Atlantic slave trade voyages database with detailed records, statistics, and visualizations.","language":"en","title":"Trans-Atlantic Slave Voyages Timelapse Map","URL":"https://www.slavevoyages.org/voyage/trans-atlantic#timelapse","accessed":{"date-parts":[["2026",4,26]]}}}],"schema":"https://github.com/citation-style-language/schema/raw/master/csl-citation.json"} </w:instrText>
      </w:r>
      <w:r>
        <w:fldChar w:fldCharType="separate"/>
      </w:r>
      <w:r w:rsidRPr="004A32FC">
        <w:rPr>
          <w:rFonts w:ascii="Aptos" w:cs="Times New Roman"/>
          <w:kern w:val="0"/>
        </w:rPr>
        <w:t>“Trans-Atlantic Slave Voyages Timelapse Map”, set 26. april 2026, https://www.slavevoyages.org/voyage/trans-atlantic#timelapse.</w:t>
      </w:r>
      <w:r>
        <w:fldChar w:fldCharType="end"/>
      </w:r>
    </w:p>
  </w:footnote>
  <w:footnote w:id="11">
    <w:p w14:paraId="1E2BFB12" w14:textId="507D6FE9" w:rsidR="00B67EA6" w:rsidRDefault="00B67EA6">
      <w:pPr>
        <w:pStyle w:val="Fodnotetekst"/>
      </w:pPr>
      <w:r>
        <w:rPr>
          <w:rStyle w:val="Fodnotehenvisning"/>
        </w:rPr>
        <w:footnoteRef/>
      </w:r>
      <w:r>
        <w:t xml:space="preserve"> </w:t>
      </w:r>
      <w:r>
        <w:fldChar w:fldCharType="begin"/>
      </w:r>
      <w:r w:rsidR="00E90CCA">
        <w:instrText xml:space="preserve"> ADDIN ZOTERO_ITEM CSL_CITATION {"citationID":"fozQ4tBu","properties":{"formattedCitation":"Niels Br\\uc0\\u252{}gger, \\uc0\\u8220{}Understanding the Archived Web as a Historical Source\\uc0\\u8221{}, i {\\i{}The SAGE Handbook of web history} (SAGE, 2019), 2019:2.","plainCitation":"Niels Brügger, “Understanding the Archived Web as a Historical Source”, i The SAGE Handbook of web history (SAGE, 2019), 2019:2.","noteIndex":11},"citationItems":[{"id":110,"uris":["http://zotero.org/users/18667687/items/KF9YQYKA"],"itemData":{"id":110,"type":"chapter","container-title":"The SAGE Handbook of web history","page":"14","publisher":"SAGE","publisher-place":"Los Angeles","title":"Understanding the Archived Web as a Historical Source","volume":"2019","author":[{"family":"Brügger","given":"Niels"}],"issued":{"date-parts":[["2019"]]}},"locator":"2","label":"page"}],"schema":"https://github.com/citation-style-language/schema/raw/master/csl-citation.json"} </w:instrText>
      </w:r>
      <w:r>
        <w:fldChar w:fldCharType="separate"/>
      </w:r>
      <w:r w:rsidRPr="00B67EA6">
        <w:rPr>
          <w:rFonts w:ascii="Aptos" w:cs="Times New Roman"/>
          <w:kern w:val="0"/>
        </w:rPr>
        <w:t xml:space="preserve">Niels Brügger, “Understanding the Archived Web as a Historical Source”, i </w:t>
      </w:r>
      <w:r w:rsidRPr="00B67EA6">
        <w:rPr>
          <w:rFonts w:ascii="Aptos" w:cs="Times New Roman"/>
          <w:i/>
          <w:iCs/>
          <w:kern w:val="0"/>
        </w:rPr>
        <w:t>The SAGE Handbook of web history</w:t>
      </w:r>
      <w:r w:rsidRPr="00B67EA6">
        <w:rPr>
          <w:rFonts w:ascii="Aptos" w:cs="Times New Roman"/>
          <w:kern w:val="0"/>
        </w:rPr>
        <w:t xml:space="preserve"> (SAGE, 2019), 2019:2.</w:t>
      </w:r>
      <w:r>
        <w:fldChar w:fldCharType="end"/>
      </w:r>
    </w:p>
  </w:footnote>
  <w:footnote w:id="12">
    <w:p w14:paraId="3E068DB8" w14:textId="3CB440A5" w:rsidR="00431268" w:rsidRDefault="00431268" w:rsidP="00431268">
      <w:pPr>
        <w:pStyle w:val="Fodnotetekst"/>
      </w:pPr>
      <w:r>
        <w:rPr>
          <w:rStyle w:val="Fodnotehenvisning"/>
        </w:rPr>
        <w:footnoteRef/>
      </w:r>
      <w:r>
        <w:t xml:space="preserve"> </w:t>
      </w:r>
      <w:r>
        <w:fldChar w:fldCharType="begin"/>
      </w:r>
      <w:r w:rsidR="00E90CCA">
        <w:instrText xml:space="preserve"> ADDIN ZOTERO_ITEM CSL_CITATION {"citationID":"HKKWgYaz","properties":{"formattedCitation":"\\uc0\\u8220{}Trans-Atlantic Slave Voyages Timelapse Map\\uc0\\u8221{}.","plainCitation":"“Trans-Atlantic Slave Voyages Timelapse Map”.","noteIndex":12},"citationItems":[{"id":111,"uris":["http://zotero.org/users/18667687/items/WSNRT9C6"],"itemData":{"id":111,"type":"webpage","abstract":"Explore the Trans-Atlantic slave trade voyages database with detailed records, statistics, and visualizations.","language":"en","title":"Trans-Atlantic Slave Voyages Timelapse Map","URL":"https://www.slavevoyages.org/voyage/trans-atlantic#timelapse","accessed":{"date-parts":[["2026",4,26]]}}}],"schema":"https://github.com/citation-style-language/schema/raw/master/csl-citation.json"} </w:instrText>
      </w:r>
      <w:r>
        <w:fldChar w:fldCharType="separate"/>
      </w:r>
      <w:r w:rsidRPr="00C773D4">
        <w:rPr>
          <w:rFonts w:ascii="Aptos" w:cs="Times New Roman"/>
          <w:kern w:val="0"/>
        </w:rPr>
        <w:t>“Trans-Atlantic Slave Voyages Timelapse Map”.</w:t>
      </w:r>
      <w:r>
        <w:fldChar w:fldCharType="end"/>
      </w:r>
    </w:p>
  </w:footnote>
  <w:footnote w:id="13">
    <w:p w14:paraId="1C778EAF" w14:textId="0169A6AD" w:rsidR="00431268" w:rsidRDefault="00431268" w:rsidP="00431268">
      <w:pPr>
        <w:pStyle w:val="Fodnotetekst"/>
      </w:pPr>
      <w:r>
        <w:rPr>
          <w:rStyle w:val="Fodnotehenvisning"/>
        </w:rPr>
        <w:footnoteRef/>
      </w:r>
      <w:r>
        <w:t xml:space="preserve"> </w:t>
      </w:r>
      <w:r>
        <w:fldChar w:fldCharType="begin"/>
      </w:r>
      <w:r>
        <w:instrText xml:space="preserve"> ADDIN ZOTERO_ITEM CSL_CITATION {"citationID":"9vk4zKl9","properties":{"formattedCitation":"Sean M. Kelley, \\uc0\\u8220{}DB or Not DB: Writing the History of the Slave Trade to North America in the Era of the Database\\uc0\\u8221{}, {\\i{}History Compass} 17, nr. 5 (2019): e12530, https://doi.org/10.1111/hic3.12530.","plainCitation":"Sean M. Kelley, “DB or Not DB: Writing the History of the Slave Trade to North America in the Era of the Database”, History Compass 17, nr. 5 (2019): e12530, https://doi.org/10.1111/hic3.12530.","noteIndex":10},"citationItems":[{"id":108,"uris":["http://zotero.org/users/18667687/items/3IVHYAXQ"],"itemData":{"id":108,"type":"article-journal","abstract":"Since the publication of the Transatlantic Slave Trade Database (now known as Voyages) in 1999, it has occupied an important place the study of the North American slave trade. Some historians, particularly those interested in the African Diaspora and African American culture, have embraced its ability to elucidate the specific connections between Africa and North America over time. While most historians have accepted the validity of the database, some have criticized the database's tendency to privilege quantitative abstraction over a more “human” narrative. A smaller number still have rejected the estimates offered by the database specifically regarding the number of Africans disembarked in the United States after 1808, but most scholars in the field have accepted the Voyages estimates. There are now plans to link the Voyages database with a number of other slavery</w:instrText>
      </w:r>
      <w:r>
        <w:rPr>
          <w:rFonts w:ascii="Cambria Math" w:hAnsi="Cambria Math" w:cs="Cambria Math"/>
        </w:rPr>
        <w:instrText>‐</w:instrText>
      </w:r>
      <w:r>
        <w:instrText xml:space="preserve">related digital history projects, which suggests that the era of the database is here to stay.","container-title":"History Compass","DOI":"10.1111/hic3.12530","ISSN":"1478-0542, 1478-0542","issue":"5","journalAbbreviation":"History Compass","language":"en","page":"e12530","source":"DOI.org (Crossref)","title":"DB or not DB: Writing the history of the slave trade to North America in the era of the database","title-short":"DB or not DB","volume":"17","author":[{"family":"Kelley","given":"Sean M."}],"issued":{"date-parts":[["2019",5]]}}}],"schema":"https://github.com/citation-style-language/schema/raw/master/csl-citation.json"} </w:instrText>
      </w:r>
      <w:r>
        <w:fldChar w:fldCharType="separate"/>
      </w:r>
      <w:r w:rsidRPr="00431268">
        <w:rPr>
          <w:rFonts w:ascii="Aptos" w:cs="Times New Roman"/>
          <w:kern w:val="0"/>
        </w:rPr>
        <w:t xml:space="preserve">Sean M. Kelley, “DB or Not DB: Writing the History of the Slave Trade to North America in the Era of the Database”, </w:t>
      </w:r>
      <w:r w:rsidRPr="00431268">
        <w:rPr>
          <w:rFonts w:ascii="Aptos" w:cs="Times New Roman"/>
          <w:i/>
          <w:iCs/>
          <w:kern w:val="0"/>
        </w:rPr>
        <w:t>History Compass</w:t>
      </w:r>
      <w:r w:rsidRPr="00431268">
        <w:rPr>
          <w:rFonts w:ascii="Aptos" w:cs="Times New Roman"/>
          <w:kern w:val="0"/>
        </w:rPr>
        <w:t xml:space="preserve"> 17, nr. 5 (2019): e12530, https://doi.org/10.1111/hic3.12530.</w:t>
      </w:r>
      <w:r>
        <w:fldChar w:fldCharType="end"/>
      </w:r>
    </w:p>
  </w:footnote>
  <w:footnote w:id="14">
    <w:p w14:paraId="31A983F3" w14:textId="0C463634" w:rsidR="00431268" w:rsidRDefault="00431268" w:rsidP="00431268">
      <w:pPr>
        <w:pStyle w:val="Fodnotetekst"/>
      </w:pPr>
      <w:r>
        <w:rPr>
          <w:rStyle w:val="Fodnotehenvisning"/>
        </w:rPr>
        <w:footnoteRef/>
      </w:r>
      <w:r>
        <w:t xml:space="preserve"> </w:t>
      </w:r>
      <w:r>
        <w:fldChar w:fldCharType="begin"/>
      </w:r>
      <w:r>
        <w:instrText xml:space="preserve"> ADDIN ZOTERO_ITEM CSL_CITATION {"citationID":"68eYx3Fe","properties":{"formattedCitation":"Jessica Marie Johnson, \\uc0\\u8220{}Markup Bodies\\uc0\\u8221{}, {\\i{}Social Text} 36, nr. 4 (2018): 57\\uc0\\u8211{}79, https://doi.org/10.1215/01642472-7145658.","plainCitation":"Jessica Marie Johnson, “Markup Bodies”, Social Text 36, nr. 4 (2018): 57–79, https://doi.org/10.1215/01642472-7145658.","noteIndex":11},"citationItems":[{"id":106,"uris":["http://zotero.org/users/18667687/items/YZ9DSC2M"],"itemData":{"id":106,"type":"article-journal","container-title":"Social Text","DOI":"10.1215/01642472-7145658","ISSN":"0164-2472, 1527-1951","issue":"4","language":"en","page":"57-79","source":"DOI.org (Crossref)","title":"Markup Bodies","volume":"36","author":[{"family":"Johnson","given":"Jessica Marie"}],"issued":{"date-parts":[["2018",12,1]]}}}],"schema":"https://github.com/citation-style-language/schema/raw/master/csl-citation.json"} </w:instrText>
      </w:r>
      <w:r>
        <w:fldChar w:fldCharType="separate"/>
      </w:r>
      <w:r w:rsidRPr="00431268">
        <w:rPr>
          <w:rFonts w:ascii="Aptos" w:cs="Times New Roman"/>
          <w:kern w:val="0"/>
        </w:rPr>
        <w:t xml:space="preserve">Jessica Marie Johnson, “Markup Bodies”, </w:t>
      </w:r>
      <w:r w:rsidRPr="00431268">
        <w:rPr>
          <w:rFonts w:ascii="Aptos" w:cs="Times New Roman"/>
          <w:i/>
          <w:iCs/>
          <w:kern w:val="0"/>
        </w:rPr>
        <w:t>Social Text</w:t>
      </w:r>
      <w:r w:rsidRPr="00431268">
        <w:rPr>
          <w:rFonts w:ascii="Aptos" w:cs="Times New Roman"/>
          <w:kern w:val="0"/>
        </w:rPr>
        <w:t xml:space="preserve"> 36, nr. 4 (2018): 57–79, https://doi.org/10.1215/01642472-7145658.</w:t>
      </w:r>
      <w:r>
        <w:fldChar w:fldCharType="end"/>
      </w:r>
    </w:p>
  </w:footnote>
  <w:footnote w:id="15">
    <w:p w14:paraId="7091DE4A" w14:textId="5483137C" w:rsidR="00431268" w:rsidRDefault="00431268" w:rsidP="00431268">
      <w:pPr>
        <w:pStyle w:val="Fodnotetekst"/>
      </w:pPr>
      <w:r>
        <w:rPr>
          <w:rStyle w:val="Fodnotehenvisning"/>
        </w:rPr>
        <w:footnoteRef/>
      </w:r>
      <w:r>
        <w:t xml:space="preserve"> </w:t>
      </w:r>
      <w:r>
        <w:fldChar w:fldCharType="begin"/>
      </w:r>
      <w:r w:rsidR="00E90CCA">
        <w:instrText xml:space="preserve"> ADDIN ZOTERO_ITEM CSL_CITATION {"citationID":"aOLCAtw4","properties":{"formattedCitation":"Br\\uc0\\u252{}gger, \\uc0\\u8220{}Understanding the Archived Web as a Historical Source\\uc0\\u8221{}.","plainCitation":"Brügger, “Understanding the Archived Web as a Historical Source”.","noteIndex":15},"citationItems":[{"id":110,"uris":["http://zotero.org/users/18667687/items/KF9YQYKA"],"itemData":{"id":110,"type":"chapter","container-title":"The SAGE Handbook of web history","page":"14","publisher":"SAGE","publisher-place":"Los Angeles","title":"Understanding the Archived Web as a Historical Source","volume":"2019","author":[{"family":"Brügger","given":"Niels"}],"issued":{"date-parts":[["2019"]]}}}],"schema":"https://github.com/citation-style-language/schema/raw/master/csl-citation.json"} </w:instrText>
      </w:r>
      <w:r>
        <w:fldChar w:fldCharType="separate"/>
      </w:r>
      <w:r w:rsidRPr="00431268">
        <w:rPr>
          <w:rFonts w:ascii="Aptos" w:cs="Times New Roman"/>
          <w:kern w:val="0"/>
        </w:rPr>
        <w:t>Brügger, “Understanding the Archived Web as a Historical Source”.</w:t>
      </w:r>
      <w:r>
        <w:fldChar w:fldCharType="end"/>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48EC"/>
    <w:rsid w:val="000001F0"/>
    <w:rsid w:val="0001675D"/>
    <w:rsid w:val="000207F6"/>
    <w:rsid w:val="00063D1E"/>
    <w:rsid w:val="00065C9D"/>
    <w:rsid w:val="000A18B6"/>
    <w:rsid w:val="000A2D96"/>
    <w:rsid w:val="000B3F49"/>
    <w:rsid w:val="000D7B7F"/>
    <w:rsid w:val="000F787C"/>
    <w:rsid w:val="00111879"/>
    <w:rsid w:val="00160B76"/>
    <w:rsid w:val="00175F5F"/>
    <w:rsid w:val="002548FF"/>
    <w:rsid w:val="0027058D"/>
    <w:rsid w:val="00272FE3"/>
    <w:rsid w:val="00282EA7"/>
    <w:rsid w:val="00302509"/>
    <w:rsid w:val="0030640A"/>
    <w:rsid w:val="00390883"/>
    <w:rsid w:val="003A0FC1"/>
    <w:rsid w:val="003F1445"/>
    <w:rsid w:val="00431268"/>
    <w:rsid w:val="004848EC"/>
    <w:rsid w:val="004A32FC"/>
    <w:rsid w:val="004E16D4"/>
    <w:rsid w:val="004E26CF"/>
    <w:rsid w:val="004F57C4"/>
    <w:rsid w:val="00500D27"/>
    <w:rsid w:val="005333AA"/>
    <w:rsid w:val="00540CC2"/>
    <w:rsid w:val="00550BAA"/>
    <w:rsid w:val="0055658A"/>
    <w:rsid w:val="00574B5F"/>
    <w:rsid w:val="005D3E2E"/>
    <w:rsid w:val="00623CBB"/>
    <w:rsid w:val="00647625"/>
    <w:rsid w:val="006E4EE5"/>
    <w:rsid w:val="00723A5D"/>
    <w:rsid w:val="00733B85"/>
    <w:rsid w:val="00774FF9"/>
    <w:rsid w:val="00782491"/>
    <w:rsid w:val="007E3640"/>
    <w:rsid w:val="007F0EF2"/>
    <w:rsid w:val="008231D3"/>
    <w:rsid w:val="00870949"/>
    <w:rsid w:val="00891F13"/>
    <w:rsid w:val="008A32E1"/>
    <w:rsid w:val="008A6423"/>
    <w:rsid w:val="008D5F87"/>
    <w:rsid w:val="009079B7"/>
    <w:rsid w:val="00911C33"/>
    <w:rsid w:val="0091508A"/>
    <w:rsid w:val="009724DA"/>
    <w:rsid w:val="009A20AB"/>
    <w:rsid w:val="009A4C4F"/>
    <w:rsid w:val="009B6678"/>
    <w:rsid w:val="009E19DE"/>
    <w:rsid w:val="009E537F"/>
    <w:rsid w:val="00A36B61"/>
    <w:rsid w:val="00A85170"/>
    <w:rsid w:val="00AA5D63"/>
    <w:rsid w:val="00B13D9B"/>
    <w:rsid w:val="00B67EA6"/>
    <w:rsid w:val="00BA5AA2"/>
    <w:rsid w:val="00BB0FA4"/>
    <w:rsid w:val="00C6380E"/>
    <w:rsid w:val="00C773D4"/>
    <w:rsid w:val="00CE241D"/>
    <w:rsid w:val="00D07478"/>
    <w:rsid w:val="00D34E2B"/>
    <w:rsid w:val="00D428D6"/>
    <w:rsid w:val="00D43F13"/>
    <w:rsid w:val="00DD5079"/>
    <w:rsid w:val="00DF7BD6"/>
    <w:rsid w:val="00E46F5A"/>
    <w:rsid w:val="00E7393F"/>
    <w:rsid w:val="00E90CCA"/>
    <w:rsid w:val="00EC67B8"/>
    <w:rsid w:val="00EE2670"/>
    <w:rsid w:val="00EF0F70"/>
    <w:rsid w:val="00F2757E"/>
    <w:rsid w:val="00F31414"/>
    <w:rsid w:val="00F327A6"/>
    <w:rsid w:val="00F51FD9"/>
    <w:rsid w:val="00FA4E04"/>
    <w:rsid w:val="00FC74F4"/>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decimalSymbol w:val=","/>
  <w:listSeparator w:val=";"/>
  <w14:docId w14:val="367B0718"/>
  <w15:chartTrackingRefBased/>
  <w15:docId w15:val="{EA11356C-1442-2D4E-A08D-1F1361516D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a-D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4848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semiHidden/>
    <w:unhideWhenUsed/>
    <w:qFormat/>
    <w:rsid w:val="004848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4848EC"/>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4848EC"/>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4848EC"/>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4848EC"/>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4848EC"/>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4848EC"/>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4848EC"/>
    <w:pPr>
      <w:keepNext/>
      <w:keepLines/>
      <w:spacing w:after="0"/>
      <w:outlineLvl w:val="8"/>
    </w:pPr>
    <w:rPr>
      <w:rFonts w:eastAsiaTheme="majorEastAsia" w:cstheme="majorBidi"/>
      <w:color w:val="272727" w:themeColor="text1" w:themeTint="D8"/>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4848EC"/>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typeiafsnit"/>
    <w:link w:val="Overskrift2"/>
    <w:uiPriority w:val="9"/>
    <w:semiHidden/>
    <w:rsid w:val="004848EC"/>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typeiafsnit"/>
    <w:link w:val="Overskrift3"/>
    <w:uiPriority w:val="9"/>
    <w:semiHidden/>
    <w:rsid w:val="004848EC"/>
    <w:rPr>
      <w:rFonts w:eastAsiaTheme="majorEastAsia" w:cstheme="majorBidi"/>
      <w:color w:val="0F4761" w:themeColor="accent1" w:themeShade="BF"/>
      <w:sz w:val="28"/>
      <w:szCs w:val="28"/>
    </w:rPr>
  </w:style>
  <w:style w:type="character" w:customStyle="1" w:styleId="Overskrift4Tegn">
    <w:name w:val="Overskrift 4 Tegn"/>
    <w:basedOn w:val="Standardskrifttypeiafsnit"/>
    <w:link w:val="Overskrift4"/>
    <w:uiPriority w:val="9"/>
    <w:semiHidden/>
    <w:rsid w:val="004848EC"/>
    <w:rPr>
      <w:rFonts w:eastAsiaTheme="majorEastAsia" w:cstheme="majorBidi"/>
      <w:i/>
      <w:iCs/>
      <w:color w:val="0F4761" w:themeColor="accent1" w:themeShade="BF"/>
    </w:rPr>
  </w:style>
  <w:style w:type="character" w:customStyle="1" w:styleId="Overskrift5Tegn">
    <w:name w:val="Overskrift 5 Tegn"/>
    <w:basedOn w:val="Standardskrifttypeiafsnit"/>
    <w:link w:val="Overskrift5"/>
    <w:uiPriority w:val="9"/>
    <w:semiHidden/>
    <w:rsid w:val="004848EC"/>
    <w:rPr>
      <w:rFonts w:eastAsiaTheme="majorEastAsia" w:cstheme="majorBidi"/>
      <w:color w:val="0F4761" w:themeColor="accent1" w:themeShade="BF"/>
    </w:rPr>
  </w:style>
  <w:style w:type="character" w:customStyle="1" w:styleId="Overskrift6Tegn">
    <w:name w:val="Overskrift 6 Tegn"/>
    <w:basedOn w:val="Standardskrifttypeiafsnit"/>
    <w:link w:val="Overskrift6"/>
    <w:uiPriority w:val="9"/>
    <w:semiHidden/>
    <w:rsid w:val="004848EC"/>
    <w:rPr>
      <w:rFonts w:eastAsiaTheme="majorEastAsia" w:cstheme="majorBidi"/>
      <w:i/>
      <w:iCs/>
      <w:color w:val="595959" w:themeColor="text1" w:themeTint="A6"/>
    </w:rPr>
  </w:style>
  <w:style w:type="character" w:customStyle="1" w:styleId="Overskrift7Tegn">
    <w:name w:val="Overskrift 7 Tegn"/>
    <w:basedOn w:val="Standardskrifttypeiafsnit"/>
    <w:link w:val="Overskrift7"/>
    <w:uiPriority w:val="9"/>
    <w:semiHidden/>
    <w:rsid w:val="004848EC"/>
    <w:rPr>
      <w:rFonts w:eastAsiaTheme="majorEastAsia" w:cstheme="majorBidi"/>
      <w:color w:val="595959" w:themeColor="text1" w:themeTint="A6"/>
    </w:rPr>
  </w:style>
  <w:style w:type="character" w:customStyle="1" w:styleId="Overskrift8Tegn">
    <w:name w:val="Overskrift 8 Tegn"/>
    <w:basedOn w:val="Standardskrifttypeiafsnit"/>
    <w:link w:val="Overskrift8"/>
    <w:uiPriority w:val="9"/>
    <w:semiHidden/>
    <w:rsid w:val="004848EC"/>
    <w:rPr>
      <w:rFonts w:eastAsiaTheme="majorEastAsia" w:cstheme="majorBidi"/>
      <w:i/>
      <w:iCs/>
      <w:color w:val="272727" w:themeColor="text1" w:themeTint="D8"/>
    </w:rPr>
  </w:style>
  <w:style w:type="character" w:customStyle="1" w:styleId="Overskrift9Tegn">
    <w:name w:val="Overskrift 9 Tegn"/>
    <w:basedOn w:val="Standardskrifttypeiafsnit"/>
    <w:link w:val="Overskrift9"/>
    <w:uiPriority w:val="9"/>
    <w:semiHidden/>
    <w:rsid w:val="004848EC"/>
    <w:rPr>
      <w:rFonts w:eastAsiaTheme="majorEastAsia" w:cstheme="majorBidi"/>
      <w:color w:val="272727" w:themeColor="text1" w:themeTint="D8"/>
    </w:rPr>
  </w:style>
  <w:style w:type="paragraph" w:styleId="Titel">
    <w:name w:val="Title"/>
    <w:basedOn w:val="Normal"/>
    <w:next w:val="Normal"/>
    <w:link w:val="TitelTegn"/>
    <w:uiPriority w:val="10"/>
    <w:qFormat/>
    <w:rsid w:val="004848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4848EC"/>
    <w:rPr>
      <w:rFonts w:asciiTheme="majorHAnsi" w:eastAsiaTheme="majorEastAsia" w:hAnsiTheme="majorHAnsi" w:cstheme="majorBidi"/>
      <w:spacing w:val="-10"/>
      <w:kern w:val="28"/>
      <w:sz w:val="56"/>
      <w:szCs w:val="56"/>
    </w:rPr>
  </w:style>
  <w:style w:type="paragraph" w:styleId="Undertitel">
    <w:name w:val="Subtitle"/>
    <w:basedOn w:val="Normal"/>
    <w:next w:val="Normal"/>
    <w:link w:val="UndertitelTegn"/>
    <w:uiPriority w:val="11"/>
    <w:qFormat/>
    <w:rsid w:val="004848EC"/>
    <w:pPr>
      <w:numPr>
        <w:ilvl w:val="1"/>
      </w:numPr>
    </w:pPr>
    <w:rPr>
      <w:rFonts w:eastAsiaTheme="majorEastAsia" w:cstheme="majorBidi"/>
      <w:color w:val="595959" w:themeColor="text1" w:themeTint="A6"/>
      <w:spacing w:val="15"/>
      <w:sz w:val="28"/>
      <w:szCs w:val="28"/>
    </w:rPr>
  </w:style>
  <w:style w:type="character" w:customStyle="1" w:styleId="UndertitelTegn">
    <w:name w:val="Undertitel Tegn"/>
    <w:basedOn w:val="Standardskrifttypeiafsnit"/>
    <w:link w:val="Undertitel"/>
    <w:uiPriority w:val="11"/>
    <w:rsid w:val="004848EC"/>
    <w:rPr>
      <w:rFonts w:eastAsiaTheme="majorEastAsia" w:cstheme="majorBidi"/>
      <w:color w:val="595959" w:themeColor="text1" w:themeTint="A6"/>
      <w:spacing w:val="15"/>
      <w:sz w:val="28"/>
      <w:szCs w:val="28"/>
    </w:rPr>
  </w:style>
  <w:style w:type="paragraph" w:styleId="Citat">
    <w:name w:val="Quote"/>
    <w:basedOn w:val="Normal"/>
    <w:next w:val="Normal"/>
    <w:link w:val="CitatTegn"/>
    <w:uiPriority w:val="29"/>
    <w:qFormat/>
    <w:rsid w:val="004848EC"/>
    <w:pPr>
      <w:spacing w:before="160"/>
      <w:jc w:val="center"/>
    </w:pPr>
    <w:rPr>
      <w:i/>
      <w:iCs/>
      <w:color w:val="404040" w:themeColor="text1" w:themeTint="BF"/>
    </w:rPr>
  </w:style>
  <w:style w:type="character" w:customStyle="1" w:styleId="CitatTegn">
    <w:name w:val="Citat Tegn"/>
    <w:basedOn w:val="Standardskrifttypeiafsnit"/>
    <w:link w:val="Citat"/>
    <w:uiPriority w:val="29"/>
    <w:rsid w:val="004848EC"/>
    <w:rPr>
      <w:i/>
      <w:iCs/>
      <w:color w:val="404040" w:themeColor="text1" w:themeTint="BF"/>
    </w:rPr>
  </w:style>
  <w:style w:type="paragraph" w:styleId="Listeafsnit">
    <w:name w:val="List Paragraph"/>
    <w:basedOn w:val="Normal"/>
    <w:uiPriority w:val="34"/>
    <w:qFormat/>
    <w:rsid w:val="004848EC"/>
    <w:pPr>
      <w:ind w:left="720"/>
      <w:contextualSpacing/>
    </w:pPr>
  </w:style>
  <w:style w:type="character" w:styleId="Kraftigfremhvning">
    <w:name w:val="Intense Emphasis"/>
    <w:basedOn w:val="Standardskrifttypeiafsnit"/>
    <w:uiPriority w:val="21"/>
    <w:qFormat/>
    <w:rsid w:val="004848EC"/>
    <w:rPr>
      <w:i/>
      <w:iCs/>
      <w:color w:val="0F4761" w:themeColor="accent1" w:themeShade="BF"/>
    </w:rPr>
  </w:style>
  <w:style w:type="paragraph" w:styleId="Strktcitat">
    <w:name w:val="Intense Quote"/>
    <w:basedOn w:val="Normal"/>
    <w:next w:val="Normal"/>
    <w:link w:val="StrktcitatTegn"/>
    <w:uiPriority w:val="30"/>
    <w:qFormat/>
    <w:rsid w:val="004848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rktcitatTegn">
    <w:name w:val="Stærkt citat Tegn"/>
    <w:basedOn w:val="Standardskrifttypeiafsnit"/>
    <w:link w:val="Strktcitat"/>
    <w:uiPriority w:val="30"/>
    <w:rsid w:val="004848EC"/>
    <w:rPr>
      <w:i/>
      <w:iCs/>
      <w:color w:val="0F4761" w:themeColor="accent1" w:themeShade="BF"/>
    </w:rPr>
  </w:style>
  <w:style w:type="character" w:styleId="Kraftighenvisning">
    <w:name w:val="Intense Reference"/>
    <w:basedOn w:val="Standardskrifttypeiafsnit"/>
    <w:uiPriority w:val="32"/>
    <w:qFormat/>
    <w:rsid w:val="004848EC"/>
    <w:rPr>
      <w:b/>
      <w:bCs/>
      <w:smallCaps/>
      <w:color w:val="0F4761" w:themeColor="accent1" w:themeShade="BF"/>
      <w:spacing w:val="5"/>
    </w:rPr>
  </w:style>
  <w:style w:type="paragraph" w:styleId="Fodnotetekst">
    <w:name w:val="footnote text"/>
    <w:basedOn w:val="Normal"/>
    <w:link w:val="FodnotetekstTegn"/>
    <w:uiPriority w:val="99"/>
    <w:semiHidden/>
    <w:unhideWhenUsed/>
    <w:rsid w:val="00BA5AA2"/>
    <w:pPr>
      <w:spacing w:after="0" w:line="240" w:lineRule="auto"/>
    </w:pPr>
    <w:rPr>
      <w:sz w:val="20"/>
      <w:szCs w:val="20"/>
    </w:rPr>
  </w:style>
  <w:style w:type="character" w:customStyle="1" w:styleId="FodnotetekstTegn">
    <w:name w:val="Fodnotetekst Tegn"/>
    <w:basedOn w:val="Standardskrifttypeiafsnit"/>
    <w:link w:val="Fodnotetekst"/>
    <w:uiPriority w:val="99"/>
    <w:semiHidden/>
    <w:rsid w:val="00BA5AA2"/>
    <w:rPr>
      <w:sz w:val="20"/>
      <w:szCs w:val="20"/>
    </w:rPr>
  </w:style>
  <w:style w:type="character" w:styleId="Fodnotehenvisning">
    <w:name w:val="footnote reference"/>
    <w:basedOn w:val="Standardskrifttypeiafsnit"/>
    <w:uiPriority w:val="99"/>
    <w:semiHidden/>
    <w:unhideWhenUsed/>
    <w:rsid w:val="00BA5AA2"/>
    <w:rPr>
      <w:vertAlign w:val="superscript"/>
    </w:rPr>
  </w:style>
  <w:style w:type="paragraph" w:styleId="Bibliografi">
    <w:name w:val="Bibliography"/>
    <w:basedOn w:val="Normal"/>
    <w:next w:val="Normal"/>
    <w:uiPriority w:val="37"/>
    <w:unhideWhenUsed/>
    <w:rsid w:val="00F327A6"/>
    <w:pPr>
      <w:spacing w:after="240" w:line="240" w:lineRule="auto"/>
      <w:ind w:left="720" w:hanging="720"/>
    </w:pPr>
  </w:style>
  <w:style w:type="paragraph" w:customStyle="1" w:styleId="paragraph">
    <w:name w:val="paragraph"/>
    <w:basedOn w:val="Normal"/>
    <w:rsid w:val="00574B5F"/>
    <w:pPr>
      <w:spacing w:before="100" w:beforeAutospacing="1" w:after="100" w:afterAutospacing="1" w:line="240" w:lineRule="auto"/>
    </w:pPr>
    <w:rPr>
      <w:rFonts w:ascii="Times New Roman" w:eastAsia="Times New Roman" w:hAnsi="Times New Roman" w:cs="Times New Roman"/>
      <w:kern w:val="0"/>
      <w:lang w:eastAsia="da-DK"/>
      <w14:ligatures w14:val="none"/>
    </w:rPr>
  </w:style>
  <w:style w:type="character" w:customStyle="1" w:styleId="normaltextrun">
    <w:name w:val="normaltextrun"/>
    <w:basedOn w:val="Standardskrifttypeiafsnit"/>
    <w:rsid w:val="00574B5F"/>
  </w:style>
  <w:style w:type="character" w:customStyle="1" w:styleId="apple-converted-space">
    <w:name w:val="apple-converted-space"/>
    <w:basedOn w:val="Standardskrifttypeiafsnit"/>
    <w:rsid w:val="00574B5F"/>
  </w:style>
  <w:style w:type="character" w:customStyle="1" w:styleId="eop">
    <w:name w:val="eop"/>
    <w:basedOn w:val="Standardskrifttypeiafsnit"/>
    <w:rsid w:val="00574B5F"/>
  </w:style>
  <w:style w:type="character" w:customStyle="1" w:styleId="superscript">
    <w:name w:val="superscript"/>
    <w:basedOn w:val="Standardskrifttypeiafsnit"/>
    <w:rsid w:val="00574B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1636</Words>
  <Characters>8953</Characters>
  <Application>Microsoft Office Word</Application>
  <DocSecurity>0</DocSecurity>
  <Lines>126</Lines>
  <Paragraphs>12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10577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Rosenkrantz Skov</dc:creator>
  <cp:keywords/>
  <dc:description/>
  <cp:lastModifiedBy>Sebastian Slot Bernhardt</cp:lastModifiedBy>
  <cp:revision>2</cp:revision>
  <dcterms:created xsi:type="dcterms:W3CDTF">2026-05-20T12:45:00Z</dcterms:created>
  <dcterms:modified xsi:type="dcterms:W3CDTF">2026-05-20T12:45:00Z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zotero-version="9.0.3"&gt;&lt;session id="uj9dX0n7"/&gt;&lt;style id="http://www.zotero.org/styles/chicago-notes-bibliography" locale="da-DK" hasBibliography="1" bibliographyStyleHasBeenSet="1"/&gt;&lt;prefs&gt;&lt;pref name="fieldType" value="Field"/&gt;&lt;pre</vt:lpwstr>
  </property>
  <property fmtid="{D5CDD505-2E9C-101B-9397-08002B2CF9AE}" pid="3" name="ZOTERO_PREF_2">
    <vt:lpwstr>f name="automaticJournalAbbreviations" value="true"/&gt;&lt;pref name="noteType" value="1"/&gt;&lt;/prefs&gt;&lt;/data&gt;</vt:lpwstr>
  </property>
</Properties>
</file>