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UNIVERSIDAD DEL BOSQUE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Ingeniería de Software I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Herramientas y Desarrollo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RN01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en entorno web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se desarrollará en un entorno web que podrá ser visualizado en diferentes navegadores.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poder acceder al sistema web desde un computador con navegador instalado y acceso a la red.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HTML5, CSS3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RNF02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Framework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utilizar un framework para la organización, diseño  y desarrollo de la herramienta de una manera más fácil.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el aplicativo web se debe utilizar la implementación de un framework como jsf u otro que recomiende el cliente.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3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MAPEO OBJETO - RELACIONAL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implementara un modelo de programación que consiste en la transformación de las tablas de una base de datos en una serie de entidades.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ORM nos facilita las labores básicas de cualquier acceso a datos, el CRUD, ya que realiza todas las labores a través de un lenguaje de alto nivel.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RNF04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MANEJO DE PERSISTENCIA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implementar el uso de una bases de datos libre para la persistencia con la finalidad del almacenamiento de datos de los ciudadanos.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Preservación de la información de los registros de los ciudadanos de forma permanente, pudiendo recuperar en cualquier momento la información solicitada para su utilización.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3" w:sz="36" w:val="single"/>
        </w:pBdr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SERVIDOR WEB O DE APLICACIONES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16"/>
                <w:szCs w:val="16"/>
                <w:rtl w:val="0"/>
              </w:rPr>
              <w:t xml:space="preserve">Debe existir el uso de un servidor web o de aplicaciones para poder crear la conexión y almacenamiento completo de la información.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Tener acceso a la conexión del servidor mostrando el aplicativo funcionando.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Operación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RNF06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Carga de archivos estáticos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deben poder cargar los archivos estáticos para que el navegador los almacene como caché y evitar más consumo de datos.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consumo de datos al realizar la primera carga de la web no debe superar más de 1000 KB en la transferencia.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RNF07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Tiempo de carga de archivos estáticos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poder realizar la transferencia de archivos estáticos en un tiempo corto de plazo localmente.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tiempo de transferencia de los archivos en su primera carga no debe superar los 4 segundos.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Desempeño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RNF08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Tiempo en comunicación con el aplicativo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servidor donde se encuentra desplegado el aplicativo debe tener tiempos cortos de respuesta cuando se realiza una petición al mismo localmente.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tiempo de respuesta entre la comunicación del cliente con el servidor no debe superar los 10 segundos teniendo una conexión estable cliente - servidor.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Compatibilidad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RNF09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Compatibilidad web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aplicativo debe poder visualizarse en todos los navegadores web más usados, Google Chrome, Firefox y Microsoft Edge.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diseño del aplicativo no debe verse afectado en los diferentes tipos de navegadores.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RNF10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Diseño responsivo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aplicativo debe poder visualizarse en dispositivos móviles, teniendo un diseño responsivo que se adapte al tamaño del dispositivo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podrá visualizar el aplicativo en el navegador de un dispositivo móvil Android con navegador Google Chrome.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Robustez y Recuperación de Error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Mantenibilidad y Escalabilidad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RNF11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 Escalable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Control de Acceso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Intergración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Otros Aspectos Tecnológicos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2" w:w="12242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