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0F2942"/>
          <w:sz w:val="28"/>
          <w:szCs w:val="28"/>
        </w:rPr>
        <w:t xml:space="preserve">PREVYSEG CAPACITACIONES LTDA.</w:t>
      </w:r>
    </w:p>
    <w:p>
      <w:pPr>
        <w:spacing w:after="100"/>
        <w:jc w:val="center"/>
      </w:pPr>
      <w:r>
        <w:rPr>
          <w:rFonts w:ascii="Calibri" w:cs="Calibri" w:eastAsia="Calibri" w:hAnsi="Calibri"/>
          <w:b/>
          <w:bCs/>
          <w:color w:val="D4AF37"/>
          <w:sz w:val="22"/>
          <w:szCs w:val="22"/>
        </w:rPr>
        <w:t xml:space="preserve">ORGANISMO TÉCNICO DE CAPACITACIÓN (OTEC)</w:t>
      </w:r>
    </w:p>
    <w:p>
      <w:pPr>
        <w:spacing w:after="400"/>
        <w:jc w:val="center"/>
      </w:pPr>
      <w:r>
        <w:rPr>
          <w:i/>
          <w:iCs/>
          <w:color w:val="64748B"/>
          <w:sz w:val="18"/>
          <w:szCs w:val="18"/>
        </w:rPr>
        <w:t xml:space="preserve">Registro SENCE N° 1238088725 • Certificación NCh 2728:2015</w:t>
      </w:r>
    </w:p>
    <w:p>
      <w:pPr>
        <w:spacing w:after="200"/>
        <w:jc w:val="center"/>
      </w:pPr>
      <w:r>
        <w:rPr>
          <w:b/>
          <w:bCs/>
          <w:color w:val="0F2942"/>
          <w:sz w:val="32"/>
          <w:szCs w:val="32"/>
        </w:rPr>
        <w:t xml:space="preserve">ESPECIFICACIÓN DE REQUERIMIENTOS DE SOFTWARE (SRS / ERS)</w:t>
      </w:r>
    </w:p>
    <w:p>
      <w:pPr>
        <w:spacing w:after="400"/>
        <w:jc w:val="center"/>
      </w:pPr>
      <w:r>
        <w:rPr>
          <w:color w:val="1E293B"/>
          <w:sz w:val="22"/>
          <w:szCs w:val="22"/>
        </w:rPr>
        <w:t xml:space="preserve">Ecosistema Digital PrevySeg 2026 (Portal Web, Admisión &amp; Campus Virtual LMS)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Código Documental</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ERS-PREVYSEG-2026-V3.0</w:t>
            </w:r>
          </w:p>
        </w:tc>
      </w:tr>
      <w:tr>
        <w:tc>
          <w:tcPr>
            <w:tcW w:type="pct" w:w="3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Estándares Aplicados</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ISO/IEC/IEEE 29148:2018 / IEEE Std 830-1998 / ISO/IEC 25010</w:t>
            </w:r>
          </w:p>
        </w:tc>
      </w:tr>
      <w:tr>
        <w:tc>
          <w:tcPr>
            <w:tcW w:type="pct" w:w="3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Fecha de Emisión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Septiembre 2026 (Versión Consolidada Post-Push)</w:t>
            </w:r>
          </w:p>
        </w:tc>
      </w:tr>
      <w:tr>
        <w:tc>
          <w:tcPr>
            <w:tcW w:type="pct" w:w="3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Repositorio GitHub</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Sebastianaso/PrevySeg2026 (Rama main - Commit 57f7822)</w:t>
            </w:r>
          </w:p>
        </w:tc>
      </w:tr>
      <w:tr>
        <w:tc>
          <w:tcPr>
            <w:tcW w:type="pct" w:w="3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Estado de Aprobación</w:t>
            </w:r>
          </w:p>
        </w:tc>
        <w:tc>
          <w:tcPr>
            <w:tcW w:type="pct" w:w="70%"/>
            <w:tcBorders>
              <w:top w:val="single" w:color="CBD5E1" w:sz="1"/>
              <w:left w:val="single" w:color="CBD5E1" w:sz="1"/>
              <w:bottom w:val="single" w:color="CBD5E1" w:sz="1"/>
              <w:right w:val="single" w:color="CBD5E1" w:sz="1"/>
            </w:tcBorders>
            <w:shd w:fill="DCFCE7"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APROBADO PARA PRODUCCIÓN Y CERTIFICACIÓN SENCE</w:t>
            </w:r>
          </w:p>
        </w:tc>
      </w:tr>
    </w:tbl>
    <w:p>
      <w:pPr>
        <w:spacing w:after="200" w:before="400"/>
      </w:pPr>
    </w:p>
    <w:p>
      <w:pPr>
        <w:pStyle w:val="Heading1"/>
        <w:spacing w:after="150" w:before="300"/>
      </w:pPr>
      <w:r>
        <w:rPr>
          <w:b/>
          <w:bCs/>
          <w:color w:val="0F2942"/>
          <w:sz w:val="24"/>
          <w:szCs w:val="24"/>
        </w:rPr>
        <w:t xml:space="preserve">1. Control de Versiones del Documento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Versión</w:t>
            </w:r>
          </w:p>
        </w:tc>
        <w:tc>
          <w:tcPr>
            <w:tcW w:type="pct" w:w="1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Fecha</w:t>
            </w:r>
          </w:p>
        </w:tc>
        <w:tc>
          <w:tcPr>
            <w:tcW w:type="pct" w:w="2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Autor / Rol</w:t>
            </w:r>
          </w:p>
        </w:tc>
        <w:tc>
          <w:tcPr>
            <w:tcW w:type="pct" w:w="38%"/>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Descripción del Cambio</w:t>
            </w:r>
          </w:p>
        </w:tc>
        <w:tc>
          <w:tcPr>
            <w:tcW w:type="pct" w:w="1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Aprobador</w:t>
            </w:r>
          </w:p>
        </w:tc>
      </w:tr>
      <w:tr>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v1.0.0</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01/09/2026</w:t>
            </w:r>
          </w:p>
        </w:tc>
        <w:tc>
          <w:tcPr>
            <w:tcW w:type="pct" w:w="2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Equipo Frontend</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Levantamiento inicial de requerimientos para portal web y vitrina de cursos.</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PM / OTEC</w:t>
            </w:r>
          </w:p>
        </w:tc>
      </w:tr>
      <w:tr>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v2.0.0</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22/09/2026</w:t>
            </w:r>
          </w:p>
        </w:tc>
        <w:tc>
          <w:tcPr>
            <w:tcW w:type="pct" w:w="2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Ingeniería Fullstack</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Depuración a 6 cursos oficiales SENCE, emisión de diplomas y confidencialidad Ley 19.628.</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Dirección OTEC</w:t>
            </w:r>
          </w:p>
        </w:tc>
      </w:tr>
      <w:tr>
        <w:tc>
          <w:tcPr>
            <w:tcW w:type="pct" w:w="12%"/>
            <w:tcBorders>
              <w:top w:val="single" w:color="CBD5E1" w:sz="1"/>
              <w:left w:val="single" w:color="CBD5E1" w:sz="1"/>
              <w:bottom w:val="single" w:color="CBD5E1" w:sz="1"/>
              <w:right w:val="single" w:color="CBD5E1" w:sz="1"/>
            </w:tcBorders>
            <w:shd w:fill="EFF6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v3.0.0</w:t>
            </w:r>
          </w:p>
        </w:tc>
        <w:tc>
          <w:tcPr>
            <w:tcW w:type="pct" w:w="15%"/>
            <w:tcBorders>
              <w:top w:val="single" w:color="CBD5E1" w:sz="1"/>
              <w:left w:val="single" w:color="CBD5E1" w:sz="1"/>
              <w:bottom w:val="single" w:color="CBD5E1" w:sz="1"/>
              <w:right w:val="single" w:color="CBD5E1" w:sz="1"/>
            </w:tcBorders>
            <w:shd w:fill="EFF6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04/09/2026</w:t>
            </w:r>
          </w:p>
        </w:tc>
        <w:tc>
          <w:tcPr>
            <w:tcW w:type="pct" w:w="20%"/>
            <w:tcBorders>
              <w:top w:val="single" w:color="CBD5E1" w:sz="1"/>
              <w:left w:val="single" w:color="CBD5E1" w:sz="1"/>
              <w:bottom w:val="single" w:color="CBD5E1" w:sz="1"/>
              <w:right w:val="single" w:color="CBD5E1" w:sz="1"/>
            </w:tcBorders>
            <w:shd w:fill="EFF6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Arquitecto TI &amp; Seguridad</w:t>
            </w:r>
          </w:p>
        </w:tc>
        <w:tc>
          <w:tcPr>
            <w:tcW w:type="pct" w:w="38%"/>
            <w:tcBorders>
              <w:top w:val="single" w:color="CBD5E1" w:sz="1"/>
              <w:left w:val="single" w:color="CBD5E1" w:sz="1"/>
              <w:bottom w:val="single" w:color="CBD5E1" w:sz="1"/>
              <w:right w:val="single" w:color="CBD5E1" w:sz="1"/>
            </w:tcBorders>
            <w:shd w:fill="EFF6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Actualización Integral: Encriptación Bcrypt 256-bit (pgcrypto) en BD, validación RUT Módulo 11 en vivo, cálculo abono 50% Cuota 1 y 2, aviso normativo SPD vs Oficios, reseteo de claves y soporte WhatsApp.</w:t>
            </w:r>
          </w:p>
        </w:tc>
        <w:tc>
          <w:tcPr>
            <w:tcW w:type="pct" w:w="15%"/>
            <w:tcBorders>
              <w:top w:val="single" w:color="CBD5E1" w:sz="1"/>
              <w:left w:val="single" w:color="CBD5E1" w:sz="1"/>
              <w:bottom w:val="single" w:color="CBD5E1" w:sz="1"/>
              <w:right w:val="single" w:color="CBD5E1" w:sz="1"/>
            </w:tcBorders>
            <w:shd w:fill="EFF6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Dirección General</w:t>
            </w:r>
          </w:p>
        </w:tc>
      </w:tr>
    </w:tbl>
    <w:p>
      <w:pPr>
        <w:pStyle w:val="Heading1"/>
        <w:spacing w:after="150" w:before="400"/>
      </w:pPr>
      <w:r>
        <w:rPr>
          <w:b/>
          <w:bCs/>
          <w:color w:val="0F2942"/>
          <w:sz w:val="24"/>
          <w:szCs w:val="24"/>
        </w:rPr>
        <w:t xml:space="preserve">2. Introducción, Alcance y Marco Regulatorio</w:t>
      </w:r>
    </w:p>
    <w:p>
      <w:pPr>
        <w:spacing w:after="150"/>
      </w:pPr>
      <w:r>
        <w:rPr>
          <w:b/>
          <w:bCs/>
          <w:color w:val="0F2942"/>
        </w:rPr>
        <w:t xml:space="preserve">2.1 Propósito del Sistema: </w:t>
      </w:r>
      <w:r>
        <w:t xml:space="preserve">Formalizar los requerimientos funcionales, no funcionales y de seguridad criptográfica del Ecosistema PrevySeg 2026, abarcando el Portal Institucional, Ficha Digital de Admisión con abono del 50%, y el Campus Virtual LMS para el seguimiento curricular y emisión de certificados bajo estándares SENCE y SPD.</w:t>
      </w:r>
    </w:p>
    <w:p>
      <w:pPr>
        <w:spacing w:after="150"/>
      </w:pPr>
      <w:r>
        <w:rPr>
          <w:b/>
          <w:bCs/>
          <w:color w:val="0F2942"/>
        </w:rPr>
        <w:t xml:space="preserve">2.2 Marco Regulatorio y Legal Aplicable:</w:t>
      </w:r>
    </w:p>
    <w:p>
      <w:pPr>
        <w:pStyle w:val="ListParagraph"/>
        <w:numPr>
          <w:ilvl w:val="0"/>
          <w:numId w:val="1"/>
        </w:numPr>
      </w:pPr>
      <w:r>
        <w:rPr>
          <w:b/>
          <w:bCs/>
        </w:rPr>
        <w:t xml:space="preserve">Norma Chilena NCh 2728:2015: </w:t>
      </w:r>
      <w:r>
        <w:t xml:space="preserve">Sistema de Gestión de la Calidad para Organismos Técnicos de Capacitación (OTEC).</w:t>
      </w:r>
    </w:p>
    <w:p>
      <w:pPr>
        <w:pStyle w:val="ListParagraph"/>
        <w:numPr>
          <w:ilvl w:val="0"/>
          <w:numId w:val="1"/>
        </w:numPr>
      </w:pPr>
      <w:r>
        <w:rPr>
          <w:b/>
          <w:bCs/>
        </w:rPr>
        <w:t xml:space="preserve">Ley N° 19.518: </w:t>
      </w:r>
      <w:r>
        <w:t xml:space="preserve">Estatuto de Capacitación y Empleo (Franquicia Tributaria SENCE).</w:t>
      </w:r>
    </w:p>
    <w:p>
      <w:pPr>
        <w:pStyle w:val="ListParagraph"/>
        <w:numPr>
          <w:ilvl w:val="0"/>
          <w:numId w:val="1"/>
        </w:numPr>
      </w:pPr>
      <w:r>
        <w:rPr>
          <w:b/>
          <w:bCs/>
        </w:rPr>
        <w:t xml:space="preserve">Decreto Ley N° 3.607 y Ley N° 21.659: </w:t>
      </w:r>
      <w:r>
        <w:t xml:space="preserve">Regulación de Seguridad Privada y acreditación de guardias fiscalizada por la Subsecretaría de Prevención del Delito (SPD) y Carabineros OS-10.</w:t>
      </w:r>
    </w:p>
    <w:p>
      <w:pPr>
        <w:pStyle w:val="ListParagraph"/>
        <w:numPr>
          <w:ilvl w:val="0"/>
          <w:numId w:val="1"/>
        </w:numPr>
        <w:spacing w:after="300"/>
      </w:pPr>
      <w:r>
        <w:rPr>
          <w:b/>
          <w:bCs/>
        </w:rPr>
        <w:t xml:space="preserve">Ley N° 19.628: </w:t>
      </w:r>
      <w:r>
        <w:t xml:space="preserve">Protección de la Vida Privada (Confidencialidad de calificaciones numéricas en diplomas públicos).</w:t>
      </w:r>
    </w:p>
    <w:p>
      <w:pPr>
        <w:pStyle w:val="Heading1"/>
        <w:spacing w:after="150" w:before="300"/>
      </w:pPr>
      <w:r>
        <w:rPr>
          <w:b/>
          <w:bCs/>
          <w:color w:val="0F2942"/>
          <w:sz w:val="24"/>
          <w:szCs w:val="24"/>
        </w:rPr>
        <w:t xml:space="preserve">3. Matriz de Actores y Perfiles (RBAC)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Actor / Rol</w:t>
            </w:r>
          </w:p>
        </w:tc>
        <w:tc>
          <w:tcPr>
            <w:tcW w:type="pct" w:w="3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Descripción y Competencias</w:t>
            </w:r>
          </w:p>
        </w:tc>
        <w:tc>
          <w:tcPr>
            <w:tcW w:type="pct" w:w="4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Responsabilidades Principales</w:t>
            </w:r>
          </w:p>
        </w:tc>
      </w:tr>
      <w:tr>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Administrador OTEC (ADMIN)</w:t>
            </w:r>
          </w:p>
        </w:tc>
        <w:tc>
          <w:tcPr>
            <w:tcW w:type="pct" w:w="3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Directorio y personal administrativo de PrevySeg.</w:t>
            </w:r>
          </w:p>
        </w:tc>
        <w:tc>
          <w:tcPr>
            <w:tcW w:type="pct" w:w="4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Gestión integral del LMS, administración de participantes, reseteo de contraseñas Bcrypt, visto bueno de diplomas y ajustes del sistema.</w:t>
            </w:r>
          </w:p>
        </w:tc>
      </w:tr>
      <w:tr>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Docente / Instructor (TEACHER)</w:t>
            </w:r>
          </w:p>
        </w:tc>
        <w:tc>
          <w:tcPr>
            <w:tcW w:type="pct" w:w="3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Profesores e instructores acreditados ante la SPD.</w:t>
            </w:r>
          </w:p>
        </w:tc>
        <w:tc>
          <w:tcPr>
            <w:tcW w:type="pct" w:w="4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Impartición de clases, revisión de actividades, control de asistencia pedagógica y acompañamiento del alumno.</w:t>
            </w:r>
          </w:p>
        </w:tc>
      </w:tr>
      <w:tr>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Estudiante / Alumno (STUDENT)</w:t>
            </w:r>
          </w:p>
        </w:tc>
        <w:tc>
          <w:tcPr>
            <w:tcW w:type="pct" w:w="3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Postulantes matriculados en cursos de seguridad u oficios.</w:t>
            </w:r>
          </w:p>
        </w:tc>
        <w:tc>
          <w:tcPr>
            <w:tcW w:type="pct" w:w="4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Acceso al aula virtual, lecciones, descarga de material didáctico, postulación a bolsa de empleo y descarga de diplomas.</w:t>
            </w:r>
          </w:p>
        </w:tc>
      </w:tr>
      <w:tr>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Postulante / Público General</w:t>
            </w:r>
          </w:p>
        </w:tc>
        <w:tc>
          <w:tcPr>
            <w:tcW w:type="pct" w:w="3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Personas interesadas en capacitarse.</w:t>
            </w:r>
          </w:p>
        </w:tc>
        <w:tc>
          <w:tcPr>
            <w:tcW w:type="pct" w:w="4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Llenado de Ficha de Inscripción, abono del 50%, consulta de requisitos documentales y contacto por WhatsApp.</w:t>
            </w:r>
          </w:p>
        </w:tc>
      </w:tr>
    </w:tbl>
    <w:p>
      <w:pPr>
        <w:pStyle w:val="Heading1"/>
        <w:spacing w:after="150" w:before="400"/>
      </w:pPr>
      <w:r>
        <w:rPr>
          <w:b/>
          <w:bCs/>
          <w:color w:val="0F2942"/>
          <w:sz w:val="24"/>
          <w:szCs w:val="24"/>
        </w:rPr>
        <w:t xml:space="preserve">4. Arquitectura y Diagramas de Procesos</w:t>
      </w:r>
    </w:p>
    <w:p>
      <w:pPr>
        <w:spacing w:after="150"/>
      </w:pPr>
      <w:r>
        <w:rPr>
          <w:b/>
          <w:bCs/>
          <w:color w:val="0F2942"/>
        </w:rPr>
        <w:t xml:space="preserve">4.1 Flujo de Admisión y Criptografía Bcrypt:</w:t>
      </w:r>
    </w:p>
    <w:p>
      <w:pPr>
        <w:spacing w:after="150"/>
      </w:pPr>
      <w:r>
        <w:t xml:space="preserve">1. El Postulante completa la Ficha Digital con validación en vivo de RUT (Módulo 11) y selecciona su curso.
2. Si es curso de Guardia, se despliega el aviso obligatorio de Examen Presencial Externo SPD. Si es curso de Oficios, se indica Certificación Directa OTEC PrevySeg.
3. Se calcula el Abono del 50% (Cuota 1 de reserva y Cuota 2 al inicio).
4. Se crea la cuenta del alumno en PostgreSQL invocando la función `register_new_student` / `admin_create_user`, generando el hash Blowfish Bcrypt 256-bit mediante `pgcrypto.crypt` sin almacenar texto plano.
5. Se redirige la confirmación a WhatsApp Oficial (+56 9 8231 2128) para la toma de los 10 documentos legales requeridos.</w:t>
      </w:r>
    </w:p>
    <w:p>
      <w:pPr>
        <w:pStyle w:val="Heading1"/>
        <w:spacing w:after="150" w:before="400"/>
      </w:pPr>
      <w:r>
        <w:rPr>
          <w:b/>
          <w:bCs/>
          <w:color w:val="0F2942"/>
          <w:sz w:val="24"/>
          <w:szCs w:val="24"/>
        </w:rPr>
        <w:t xml:space="preserve">5. Matriz Detallada de Requerimientos Funcionales (RF)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Código</w:t>
            </w:r>
          </w:p>
        </w:tc>
        <w:tc>
          <w:tcPr>
            <w:tcW w:type="pct" w:w="1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Módulo</w:t>
            </w:r>
          </w:p>
        </w:tc>
        <w:tc>
          <w:tcPr>
            <w:tcW w:type="pct" w:w="2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Requerimiento Funcional</w:t>
            </w:r>
          </w:p>
        </w:tc>
        <w:tc>
          <w:tcPr>
            <w:tcW w:type="pct" w:w="38%"/>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Descripción Técnica y Criterio de Aceptación</w:t>
            </w:r>
          </w:p>
        </w:tc>
        <w:tc>
          <w:tcPr>
            <w:tcW w:type="pct" w:w="12%"/>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Prioridad</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RF-01</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Admisión</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Ficha de Inscripción Digital Oficial</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Captura datos personales y laborales del estudiante (Nombre completo, RUT, Fecha de Nacimiento, País, Teléfono, Domicilio, Correo, Condición Laboral y Empresa).</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RF-02</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Admisión</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Cálculo Dinámico del Abono 50%</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Desglose automático de Cuota N°1 (50% de reserva al inscribirse) y Cuota N°2 (saldo restante al inicio de clases) según arancel oficial.</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RF-03</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Normativo</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Diferenciación Explicativa SPD vs Oficios</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Aviso normativo claro: Cursos de Guardia requieren examen presencial ante la SPD; Cursos de Oficios otorgan certificación directa PrevySeg OTEC.</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RF-04</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Admisión</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Coordinación Documental por WhatsApp</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Generación de mensaje codificado URI a WhatsApp (+56 9 8231 2128) con código de solicitud y detalle de 10 documentos oficiales.</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RF-05</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Admisión</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Buzón de Preguntas o Dudas</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Formulario interactivo con aviso explícito de que el equipo se comunicará para orientar y solicitar documentos complementarios si fuese necesario.</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Should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RF-06</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Seguridad</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Encriptación de Contraseñas (Bcrypt)</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Almacenamiento seguro de todas las contraseñas mediante hash Blowfish Bcrypt (256-bit, costo 10) usando pgcrypto en PostgreSQL. Cero texto plano.</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RF-07</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Seguridad</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Procedimiento register_new_student</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Función PL/pgSQL atómica para registrar al estudiante con clave encriptada, crear usuario en auth.users, auth.identities, public.users y matrícula inicial.</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RF-08</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Seguridad</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Procedimiento admin_create_user</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Función PL/pgSQL para creación de usuarios desde consola administrativa con rol asignable (ADMIN, TEACHER, STUDENT) y contraseña encriptada.</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RF-09</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Seguridad</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Procedimiento change_user_password</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Función PL/pgSQL para actualización segura y re-hasheo de contraseñas de usuarios en ambas tablas (auth.users y public.users).</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RF-10</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Validación</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Algoritmo Módulo 11 para RUT</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Validación estricta y matemática del dígito verificador del RUT chileno (calculateRutDv y validateRut).</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RF-11</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Validación</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Formateador Dinámico de RUT</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Formateo automático de inputs en vivo a estructura XX.XXX.XXX-X mientras el usuario escribe (formatRut).</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RF-12</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Validación</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Medidor de Fuerza de Clave</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Evaluación en tiempo real de la robustez de contraseñas con barra de progreso y 5 niveles visuales (Muy Débil a Muy Segura).</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Should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RF-13</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Seguridad</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Modal de Acceso 1-Click Demo</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Plataforma modal con alternancia de visibilidad de clave (ojo/candado) y accesos rápidos pre-cargados para los 3 roles del sistema.</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RF-14</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LMS Admin</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Gestión de Participantes y Claves</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Tabla interactiva de alumnos con filtros por rol, curso, búsqueda por RUT, exportación y nuevo modal para Cambiar / Restablecer Contraseña (🔑).</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RF-15</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LMS Alumno</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Área Personal y Mis Cursos</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Panel de control del estudiante con avance curricular porcentual, estado SENCE y banner de certificados oficiales emitidos.</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RF-16</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LMS Alumno</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Aula Virtual y Lecciones</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Vista estructurada de módulos formativos, contenido pedagógico y cuestionarios interactivos.</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RF-17</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Certificación</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Visto Bueno Administrativo</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Panel de validación de requisitos legales para autorizar y emitir diplomas oficiales en PDF con sello SENCE y QR.</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RF-18</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Certificación</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Confidencialidad Ley N° 19.628</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Cero exposición de notas numéricas en los certificados y diplomas emitidos para salvaguardar la privacidad del estudiante.</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r>
        <w:tc>
          <w:tcPr>
            <w:tcW w:type="pct" w:w="1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RF-19</w:t>
            </w:r>
          </w:p>
        </w:tc>
        <w:tc>
          <w:tcPr>
            <w:tcW w:type="pct" w:w="1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Servicios</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Bolsa de Empleo Regional Arica</w:t>
            </w:r>
          </w:p>
        </w:tc>
        <w:tc>
          <w:tcPr>
            <w:tcW w:type="pct" w:w="38%"/>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Catálogo de vacantes laborales en seguridad para la región de Arica y Parinacota con postulación curricular directa con RUT.</w:t>
            </w:r>
          </w:p>
        </w:tc>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Should Have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RF-20</w:t>
            </w:r>
          </w:p>
        </w:tc>
        <w:tc>
          <w:tcPr>
            <w:tcW w:type="pct" w:w="1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Comercial</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Matriz de Tramos SENCE</w:t>
            </w:r>
          </w:p>
        </w:tc>
        <w:tc>
          <w:tcPr>
            <w:tcW w:type="pct" w:w="38%"/>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Exposición de tramos de franquicia tributaria (100% hasta 25 UTM, 50%, 15% y Pago Particular) para empresas y RRHH.</w:t>
            </w:r>
          </w:p>
        </w:tc>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val="false"/>
                <w:bCs w:val="false"/>
                <w:color w:val="1E293B"/>
                <w:sz w:val="18"/>
                <w:szCs w:val="18"/>
              </w:rPr>
              <w:t xml:space="preserve">Must Have</w:t>
            </w:r>
          </w:p>
        </w:tc>
      </w:tr>
    </w:tbl>
    <w:p>
      <w:pPr>
        <w:pStyle w:val="Heading1"/>
        <w:spacing w:after="150" w:before="400"/>
      </w:pPr>
      <w:r>
        <w:rPr>
          <w:b/>
          <w:bCs/>
          <w:color w:val="0F2942"/>
          <w:sz w:val="24"/>
          <w:szCs w:val="24"/>
        </w:rPr>
        <w:t xml:space="preserve">6. Matriz de Requerimientos No Funcionales (RNF - ISO/IEC 25010)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Código</w:t>
            </w:r>
          </w:p>
        </w:tc>
        <w:tc>
          <w:tcPr>
            <w:tcW w:type="pct" w:w="2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Dimensión ISO 25010</w:t>
            </w:r>
          </w:p>
        </w:tc>
        <w:tc>
          <w:tcPr>
            <w:tcW w:type="pct" w:w="43%"/>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Requisito y Criterio de Calidad</w:t>
            </w:r>
          </w:p>
        </w:tc>
        <w:tc>
          <w:tcPr>
            <w:tcW w:type="pct" w:w="2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Métrica Objetivo</w:t>
            </w:r>
          </w:p>
        </w:tc>
      </w:tr>
      <w:tr>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RNF-01</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Seguridad Criptográfica</w:t>
            </w:r>
          </w:p>
        </w:tc>
        <w:tc>
          <w:tcPr>
            <w:tcW w:type="pct" w:w="43%"/>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Todas las contraseñas deben estar hasheadas con Blowfish Bcrypt ($2a$10$). Prohibido almacenar texto plano bajo cualquier condición.</w:t>
            </w:r>
          </w:p>
        </w:tc>
        <w:tc>
          <w:tcPr>
            <w:tcW w:type="pct" w:w="2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100% claves con hash Bcrypt</w:t>
            </w:r>
          </w:p>
        </w:tc>
      </w:tr>
      <w:tr>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RNF-02</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Integridad de Datos</w:t>
            </w:r>
          </w:p>
        </w:tc>
        <w:tc>
          <w:tcPr>
            <w:tcW w:type="pct" w:w="43%"/>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Sincronización atómica e idempotente (ON CONFLICT) entre auth.users, auth.identities y public.users.</w:t>
            </w:r>
          </w:p>
        </w:tc>
        <w:tc>
          <w:tcPr>
            <w:tcW w:type="pct" w:w="2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0 fallos de clave foránea</w:t>
            </w:r>
          </w:p>
        </w:tc>
      </w:tr>
      <w:tr>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RNF-03</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Seguridad (RBAC)</w:t>
            </w:r>
          </w:p>
        </w:tc>
        <w:tc>
          <w:tcPr>
            <w:tcW w:type="pct" w:w="43%"/>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Aislamiento estricto de vistas y acciones administrativas según el rol del usuario autenticado (ADMIN, TEACHER, STUDENT).</w:t>
            </w:r>
          </w:p>
        </w:tc>
        <w:tc>
          <w:tcPr>
            <w:tcW w:type="pct" w:w="2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100% rutas protegidas</w:t>
            </w:r>
          </w:p>
        </w:tc>
      </w:tr>
      <w:tr>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RNF-04</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Eficiencia de Rendimiento</w:t>
            </w:r>
          </w:p>
        </w:tc>
        <w:tc>
          <w:tcPr>
            <w:tcW w:type="pct" w:w="43%"/>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Tiempo de renderizado inicial (FCP) inferior a 1.2 segundos y compilación limpia con Vite.</w:t>
            </w:r>
          </w:p>
        </w:tc>
        <w:tc>
          <w:tcPr>
            <w:tcW w:type="pct" w:w="2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FCP ≤ 1.2s • 0 errores build</w:t>
            </w:r>
          </w:p>
        </w:tc>
      </w:tr>
      <w:tr>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RNF-05</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Disponibilidad Operacional</w:t>
            </w:r>
          </w:p>
        </w:tc>
        <w:tc>
          <w:tcPr>
            <w:tcW w:type="pct" w:w="43%"/>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Disponibilidad del servicio 24/7/365 con un Acuerdo de Nivel de Servicio (SLA) del 99.8% mensual.</w:t>
            </w:r>
          </w:p>
        </w:tc>
        <w:tc>
          <w:tcPr>
            <w:tcW w:type="pct" w:w="2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Uptime ≥ 99.8%</w:t>
            </w:r>
          </w:p>
        </w:tc>
      </w:tr>
      <w:tr>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RNF-06</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Usabilidad y Accesibilidad</w:t>
            </w:r>
          </w:p>
        </w:tc>
        <w:tc>
          <w:tcPr>
            <w:tcW w:type="pct" w:w="43%"/>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Interfaz con contraste WCAG 2.1 Nivel AA (bg-slate-50, bg-white, text-slate-900), tipografía legible y respuesta en vivo.</w:t>
            </w:r>
          </w:p>
        </w:tc>
        <w:tc>
          <w:tcPr>
            <w:tcW w:type="pct" w:w="2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Ratio contraste ≥ 4.5:1</w:t>
            </w:r>
          </w:p>
        </w:tc>
      </w:tr>
      <w:tr>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RNF-07</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Compatibilidad Cross-Browser</w:t>
            </w:r>
          </w:p>
        </w:tc>
        <w:tc>
          <w:tcPr>
            <w:tcW w:type="pct" w:w="43%"/>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Funcionamiento garantizado en Chrome, Edge, Firefox, Safari y navegadores móviles Android/iOS.</w:t>
            </w:r>
          </w:p>
        </w:tc>
        <w:tc>
          <w:tcPr>
            <w:tcW w:type="pct" w:w="2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100% navegadores estándar</w:t>
            </w:r>
          </w:p>
        </w:tc>
      </w:tr>
      <w:tr>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RNF-08</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Mantenibilidad del Código</w:t>
            </w:r>
          </w:p>
        </w:tc>
        <w:tc>
          <w:tcPr>
            <w:tcW w:type="pct" w:w="43%"/>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Arquitectura modular desacoplada en React con librerías dedicadas (supabase.js, validation.js).</w:t>
            </w:r>
          </w:p>
        </w:tc>
        <w:tc>
          <w:tcPr>
            <w:tcW w:type="pct" w:w="2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Código modular sin deuda</w:t>
            </w:r>
          </w:p>
        </w:tc>
      </w:tr>
      <w:tr>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RNF-09</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Cumplimiento SENCE</w:t>
            </w:r>
          </w:p>
        </w:tc>
        <w:tc>
          <w:tcPr>
            <w:tcW w:type="pct" w:w="43%"/>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Trazabilidad y auditoría de participantes bajo la Norma Chilena NCh 2728:2015.</w:t>
            </w:r>
          </w:p>
        </w:tc>
        <w:tc>
          <w:tcPr>
            <w:tcW w:type="pct" w:w="2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Auditoría SENCE 100% OK</w:t>
            </w:r>
          </w:p>
        </w:tc>
      </w:tr>
      <w:tr>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RNF-10</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Privacidad Legal (Ley 19.628)</w:t>
            </w:r>
          </w:p>
        </w:tc>
        <w:tc>
          <w:tcPr>
            <w:tcW w:type="pct" w:w="43%"/>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Certificados emitidos con acreditación cualitativa (APROBADO) sin notas numéricas.</w:t>
            </w:r>
          </w:p>
        </w:tc>
        <w:tc>
          <w:tcPr>
            <w:tcW w:type="pct" w:w="2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0% notas en certificados</w:t>
            </w:r>
          </w:p>
        </w:tc>
      </w:tr>
      <w:tr>
        <w:tc>
          <w:tcPr>
            <w:tcW w:type="pct" w:w="12%"/>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RNF-11</w:t>
            </w:r>
          </w:p>
        </w:tc>
        <w:tc>
          <w:tcPr>
            <w:tcW w:type="pct" w:w="2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Tolerancia a Fallos</w:t>
            </w:r>
          </w:p>
        </w:tc>
        <w:tc>
          <w:tcPr>
            <w:tcW w:type="pct" w:w="43%"/>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Captura de excepciones en tiempo de ejecución con React Error Boundaries y mensajes amigables al usuario.</w:t>
            </w:r>
          </w:p>
        </w:tc>
        <w:tc>
          <w:tcPr>
            <w:tcW w:type="pct" w:w="2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0 pantallas blancas</w:t>
            </w:r>
          </w:p>
        </w:tc>
      </w:tr>
      <w:tr>
        <w:tc>
          <w:tcPr>
            <w:tcW w:type="pct" w:w="12%"/>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RNF-12</w:t>
            </w:r>
          </w:p>
        </w:tc>
        <w:tc>
          <w:tcPr>
            <w:tcW w:type="pct" w:w="2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Trazabilidad en Git</w:t>
            </w:r>
          </w:p>
        </w:tc>
        <w:tc>
          <w:tcPr>
            <w:tcW w:type="pct" w:w="43%"/>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Registro histórico en Git con commits semánticos y descriptivos en español sincronizados en GitHub.</w:t>
            </w:r>
          </w:p>
        </w:tc>
        <w:tc>
          <w:tcPr>
            <w:tcW w:type="pct" w:w="2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Trazabilidad 100% en main</w:t>
            </w:r>
          </w:p>
        </w:tc>
      </w:tr>
    </w:tbl>
    <w:p>
      <w:pPr>
        <w:pStyle w:val="Heading1"/>
        <w:spacing w:after="150" w:before="400"/>
      </w:pPr>
      <w:r>
        <w:rPr>
          <w:b/>
          <w:bCs/>
          <w:color w:val="0F2942"/>
          <w:sz w:val="24"/>
          <w:szCs w:val="24"/>
        </w:rPr>
        <w:t xml:space="preserve">7. Aprobación y Validación Formal de Ingeniería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Rol / Responsabilidad</w:t>
            </w:r>
          </w:p>
        </w:tc>
        <w:tc>
          <w:tcPr>
            <w:tcW w:type="pct" w:w="35%"/>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Nombre y Especialidad</w:t>
            </w:r>
          </w:p>
        </w:tc>
        <w:tc>
          <w:tcPr>
            <w:tcW w:type="pct" w:w="30%"/>
            <w:tcBorders>
              <w:top w:val="single" w:color="CBD5E1" w:sz="1"/>
              <w:left w:val="single" w:color="CBD5E1" w:sz="1"/>
              <w:bottom w:val="single" w:color="CBD5E1" w:sz="1"/>
              <w:right w:val="single" w:color="CBD5E1" w:sz="1"/>
            </w:tcBorders>
            <w:shd w:fill="0F2942"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Estado y Validación</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Ingeniero Líder de Software / TI</w:t>
            </w:r>
          </w:p>
        </w:tc>
        <w:tc>
          <w:tcPr>
            <w:tcW w:type="pct" w:w="3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Sebastián Araya — Ingeniería Informática</w:t>
            </w:r>
          </w:p>
        </w:tc>
        <w:tc>
          <w:tcPr>
            <w:tcW w:type="pct" w:w="30%"/>
            <w:tcBorders>
              <w:top w:val="single" w:color="CBD5E1" w:sz="1"/>
              <w:left w:val="single" w:color="CBD5E1" w:sz="1"/>
              <w:bottom w:val="single" w:color="CBD5E1" w:sz="1"/>
              <w:right w:val="single" w:color="CBD5E1" w:sz="1"/>
            </w:tcBorders>
            <w:shd w:fill="DCFCE7"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APROBADO TÉCNICAMENTE</w:t>
            </w:r>
          </w:p>
        </w:tc>
      </w:tr>
      <w:tr>
        <w:tc>
          <w:tcPr>
            <w:tcW w:type="pct" w:w="3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Director Académico OTEC</w:t>
            </w:r>
          </w:p>
        </w:tc>
        <w:tc>
          <w:tcPr>
            <w:tcW w:type="pct" w:w="35%"/>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Ashley Adaros — Dirección PrevySeg Ltda.</w:t>
            </w:r>
          </w:p>
        </w:tc>
        <w:tc>
          <w:tcPr>
            <w:tcW w:type="pct" w:w="30%"/>
            <w:tcBorders>
              <w:top w:val="single" w:color="CBD5E1" w:sz="1"/>
              <w:left w:val="single" w:color="CBD5E1" w:sz="1"/>
              <w:bottom w:val="single" w:color="CBD5E1" w:sz="1"/>
              <w:right w:val="single" w:color="CBD5E1" w:sz="1"/>
            </w:tcBorders>
            <w:shd w:fill="DCFCE7"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APROBADO INSTITUCIONAL</w:t>
            </w:r>
          </w:p>
        </w:tc>
      </w:tr>
      <w:tr>
        <w:tc>
          <w:tcPr>
            <w:tcW w:type="pct" w:w="3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bCs/>
                <w:color w:val="1E293B"/>
                <w:sz w:val="18"/>
                <w:szCs w:val="18"/>
              </w:rPr>
              <w:t xml:space="preserve">Aseguramiento Calidad NCh 2728 / SENCE</w:t>
            </w:r>
          </w:p>
        </w:tc>
        <w:tc>
          <w:tcPr>
            <w:tcW w:type="pct" w:w="35%"/>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Comité de Calidad y Auditoría OTEC</w:t>
            </w:r>
          </w:p>
        </w:tc>
        <w:tc>
          <w:tcPr>
            <w:tcW w:type="pct" w:w="30%"/>
            <w:tcBorders>
              <w:top w:val="single" w:color="CBD5E1" w:sz="1"/>
              <w:left w:val="single" w:color="CBD5E1" w:sz="1"/>
              <w:bottom w:val="single" w:color="CBD5E1" w:sz="1"/>
              <w:right w:val="single" w:color="CBD5E1" w:sz="1"/>
            </w:tcBorders>
            <w:shd w:fill="DCFCE7" w:val="clear"/>
            <w:tcMar>
              <w:top w:type="dxa" w:w="120"/>
              <w:left w:type="dxa" w:w="150"/>
              <w:bottom w:type="dxa" w:w="120"/>
              <w:right w:type="dxa" w:w="150"/>
            </w:tcMar>
          </w:tcPr>
          <w:p>
            <w:pPr>
              <w:jc w:val="center"/>
            </w:pPr>
            <w:r>
              <w:rPr>
                <w:rFonts w:ascii="Calibri" w:cs="Calibri" w:eastAsia="Calibri" w:hAnsi="Calibri"/>
                <w:b/>
                <w:bCs/>
                <w:color w:val="1E293B"/>
                <w:sz w:val="18"/>
                <w:szCs w:val="18"/>
              </w:rPr>
              <w:t xml:space="preserve">CONFORME A NORMATIVA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6"/>
        <w:szCs w:val="16"/>
      </w:rPr>
      <w:t xml:space="preserve">Confidencial - Norma NCh 2728:2015 &amp; SENCE</w:t>
    </w:r>
    <w:r>
      <w:rPr>
        <w:rFonts w:ascii="Calibri" w:cs="Calibri" w:eastAsia="Calibri" w:hAnsi="Calibri"/>
        <w:color w:val="64748B"/>
        <w:sz w:val="16"/>
        <w:szCs w:val="16"/>
      </w:rPr>
      <w:t xml:space="preserve">    Página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PrevySeg Capacitaciones Ltda. | ERS-PREVYSEG-2026-V3.0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2026-09-04T20:40:42.462Z</dcterms:created>
  <dcterms:modified xsi:type="dcterms:W3CDTF">2026-09-04T20:40:42.463Z</dcterms:modified>
</cp:coreProperties>
</file>

<file path=docProps/custom.xml><?xml version="1.0" encoding="utf-8"?>
<Properties xmlns="http://schemas.openxmlformats.org/officeDocument/2006/custom-properties" xmlns:vt="http://schemas.openxmlformats.org/officeDocument/2006/docPropsVTypes"/>
</file>