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Misión 2.4 – Esquema de Población y Muestra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Factores conductuales que guían al burnout académico </w:t>
      </w: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Barraza Torres J.D., Cardiel Mares E.A., Flores Hernández J.F., Rivera Leyva S., Rodríguez Sánchez C.M.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continuación, se presenta la delimitación metodológica de los sujetos de estudio en formato de esquema estructurado.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690"/>
        <w:tblGridChange w:id="0">
          <w:tblGrid>
            <w:gridCol w:w="2145"/>
            <w:gridCol w:w="66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 y 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Estudiantes universitarios de la Universidad Tecnológica de Durango, matriculados durante el periodo académico de mayo a agosto de 2026. Es el grupo directamente afectado por el agotamiento académico derivado de los hábitos en estudio. La cantidad exacta dependerá de la matrícula activa del campus.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 de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individual. Cada persona representará un registro único obtenido mediante los cuestionarios digitales y formularios aplicados.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inclusión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Alumnos inscritos con carga de materias regular o completa.</w:t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Estudiantes que consuman contenido tecnológico y utilicen Inteligencia Artificial para sus actividades de estudio.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exclusión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Estudiantes que no tengan acceso a dispositivos móviles para contestar las encuestas digitales en la aplicación específica.</w:t>
            </w:r>
          </w:p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Alumnos en situación de baja temporal o que cursen únicamente actividades extracurriculares.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muestreo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trabajará con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muestra</w:t>
            </w:r>
            <w:r w:rsidDel="00000000" w:rsidR="00000000" w:rsidRPr="00000000">
              <w:rPr>
                <w:rtl w:val="0"/>
              </w:rPr>
              <w:t xml:space="preserve"> utilizando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muestreo no probabilístico por conveniencia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del muestreo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Debido a la magnitud de la población total, la información se recopilará enviando los cuestionarios digitales y la aplicación a los estudiantes que resulten más accesibles para el equipo de investigación. Esto permite viabilizar la medición del agotamiento académico optimizando el tiempo y los recursos disponibles.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