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Especificación de Requerimientos No Funcionales (RNF)</w:t>
      </w:r>
    </w:p>
    <w:p>
      <w:pPr>
        <w:pStyle w:val="MdParagraph"/>
      </w:pPr>
      <w:r>
        <w:t xml:space="preserve">Este documento detalla las restricciones, atributos de calidad y requisitos técnicos que el sistema debe cumplir, basándose en las normativas y políticas establecidas en el contrato.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Seguridad y Privacidad (ISO/IEC 27001 y Ley 1581)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Requerimiento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Descripción Detallada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RNF-SEG-01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Cifrado de Datos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Todos los datos en reposo deben estar cifrados (ej. BitLocker, LUKS) y los datos en tránsito deben utilizar protocolos seguros (TLS 1.2 o superior).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RNF-SEG-02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Autenticación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sistema debe requerir Autenticación Multifactor (MFA/2FA) para el acceso de todos los usuarios.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RNF-SEG-03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Política de Contraseñas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Las contraseñas deben tener mínimo 12 caracteres (mayúsculas, minúsculas, números, símbolos) y expirar cada 90 días.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RNF-SEG-04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Protección de Datos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sistema debe cumplir con la Ley 1581 de 2012, garantizando que los datos personales solo se usen para los fines del contrato y no se transfieran a terceros sin autorización.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RNF-SEG-05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Bloqueo por Inactividad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Las sesiones de usuario deben bloquearse automáticamente tras 5 minutos de inactividad.</w:t>
            </w:r>
          </w:p>
        </w:tc>
      </w:tr>
    </w:tbl>
    <w:p>
      <w:pPr>
        <w:pStyle w:val="Heading2"/>
        <w:pStyle w:val="MdHeading2"/>
      </w:pPr>
      <w:r>
        <w:t xml:space="preserve">2. Rendimiento y Disponibilidad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Requerimiento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Descripción Detallada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RNF-REN-01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Tiempo de Respuesta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dashboard y las consultas de KPIs deben cargar en un tiempo máximo de 3 segundos.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RNF-REN-02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Disponibilidad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 plataforma debe garantizar un uptime del 99.9% durante el horario laboral de la empresa.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RNF-REN-03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Concurrencia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sistema debe soportar al menos 100 usuarios concurrentes sin degradación del tiempo de respuesta.</w:t>
            </w:r>
          </w:p>
        </w:tc>
      </w:tr>
    </w:tbl>
    <w:p>
      <w:pPr>
        <w:pStyle w:val="Heading2"/>
        <w:pStyle w:val="MdHeading2"/>
      </w:pPr>
      <w:r>
        <w:t xml:space="preserve">3. Calidad de Software (ISO/IEC 25010)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Requerimiento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Descripción Detallada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RNF-CAL-01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Mantenibilidad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código fuente debe estar completamente comentado y documentado, facilitando futuras modificaciones.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RNF-CAL-02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Portabilidad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sistema debe estar contenerizado usando Docker y ser orquestable mediante Kubernetes, permitiendo su despliegue en AWS, GCP o Azure.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RNF-CAL-03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Usabilidad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 interfaz de usuario debe ser intuitiva, requiriendo un máximo de 40 horas de capacitación para que los usuarios finales la dominen.</w:t>
            </w:r>
          </w:p>
        </w:tc>
      </w:tr>
    </w:tbl>
    <w:p>
      <w:pPr>
        <w:pStyle w:val="Heading2"/>
        <w:pStyle w:val="MdHeading2"/>
      </w:pPr>
      <w:r>
        <w:t xml:space="preserve">4. Restricciones Tecnológicas (Anexo C)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Requerimiento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Descripción Detallada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RNF-TEC-01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Stack de Desarrollo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backend debe desarrollarse en Python (FastAPI/Django), el frontend en React.js/Next.js, y usar PostgreSQL/MongoDB como base de datos.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RNF-TEC-02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Frameworks de 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 deben utilizar TensorFlow (2.12+) o PyTorch (2.0+) para modelos profundos, Scikit-learn (1.3+) para ML clásico, y Hugging Face / LangChain para NLP.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RNF-TEC-03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Restricción de IA Externa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Está estrictamente prohibido el uso de herramientas de IA generativa externas (ChatGPT, Gemini público) para procesar información confidencial del Contratante.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2026-05-10T18:00:42.039Z</dcterms:created>
  <dcterms:modified xsi:type="dcterms:W3CDTF">2026-05-10T18:00:42.039Z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