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Matriz de Trazabilidad de Requerimientos</w:t>
      </w:r>
    </w:p>
    <w:p>
      <w:pPr>
        <w:pStyle w:val="MdParagraph"/>
      </w:pPr>
      <w:r>
        <w:t xml:space="preserve">Este documento asegura que cada requerimiento esté alineado con los objetivos del negocio y pueda ser rastreado a través de las fases de diseño (Casos de Uso) y pruebas.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 Requerimiento (SRS/Backlog)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Corta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 de Negocio Asociado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Caso de Uso / User Story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 Prueba (UAT)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RF-01 / REQ-005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Automatización de Flujos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Optimización Operativa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(A definir en diseño detallado)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RF-02 / REQ-004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Análisis Predictivo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Toma de Decisiones Basada en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US-02: Predicción de Cuellos de Botella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RF-03 / REQ-006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de KPIs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Toma de Decisiones Basada en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US-01: Visualización de KPIs en Tiempo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RF-04 / REQ-008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Gestión Documental NLP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Eficiencia Documental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US-03: Clasificación Automática de 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RF-04 / REQ-009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Extracción de Datos NLP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Eficiencia Documental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US-04: Extracción de Entidades Clave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RF-05 / REQ-010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 Inteligentes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Proactividad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US-05: Recepción de Alertas de Anomalías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RF-06 / REQ-012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Integración ERP/CRM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Optimización Operativa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(Transversal a US-04)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RNF-SEG-02 / REQ-013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Autenticación MFA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Cumplimiento Normativo (Seguridad)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 (Requisito de Sistema)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UAT-08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2026-05-10T18:00:56.055Z</dcterms:created>
  <dcterms:modified xsi:type="dcterms:W3CDTF">2026-05-10T18:00:56.055Z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