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C7F" w:rsidRPr="008E2C7F" w:rsidRDefault="008E2C7F" w:rsidP="008E2C7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8E2C7F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Prezzo indicativo: A partire da $150,000</w:t>
      </w:r>
    </w:p>
    <w:p w:rsidR="008E2C7F" w:rsidRPr="008E2C7F" w:rsidRDefault="008E2C7F" w:rsidP="008E2C7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8E2C7F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Cilindrata: 4.0 litri</w:t>
      </w:r>
    </w:p>
    <w:p w:rsidR="008E2C7F" w:rsidRPr="008E2C7F" w:rsidRDefault="008E2C7F" w:rsidP="008E2C7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8E2C7F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Potenza: 375 kW (510 CV)</w:t>
      </w:r>
    </w:p>
    <w:p w:rsidR="008E2C7F" w:rsidRPr="008E2C7F" w:rsidRDefault="008E2C7F" w:rsidP="008E2C7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8E2C7F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Anno di produzione: 2018</w:t>
      </w:r>
    </w:p>
    <w:p w:rsidR="00515A09" w:rsidRDefault="008E2C7F"/>
    <w:sectPr w:rsidR="00515A09" w:rsidSect="006D78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DF5B22"/>
    <w:multiLevelType w:val="multilevel"/>
    <w:tmpl w:val="D70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D354C5"/>
    <w:multiLevelType w:val="multilevel"/>
    <w:tmpl w:val="A86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8E2C7F"/>
    <w:rsid w:val="003175D7"/>
    <w:rsid w:val="006D78B6"/>
    <w:rsid w:val="008E2C7F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D78B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s-6">
    <w:name w:val="fs-6"/>
    <w:basedOn w:val="Carpredefinitoparagrafo"/>
    <w:rsid w:val="008E2C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3</cp:revision>
  <dcterms:created xsi:type="dcterms:W3CDTF">2023-11-10T17:54:00Z</dcterms:created>
  <dcterms:modified xsi:type="dcterms:W3CDTF">2023-11-10T17:56:00Z</dcterms:modified>
</cp:coreProperties>
</file>