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92" w:tblpY="1954"/>
        <w:tblW w:w="15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67"/>
        <w:gridCol w:w="1843"/>
        <w:gridCol w:w="1417"/>
        <w:gridCol w:w="1853"/>
        <w:gridCol w:w="1266"/>
        <w:gridCol w:w="992"/>
        <w:gridCol w:w="992"/>
        <w:gridCol w:w="992"/>
        <w:gridCol w:w="709"/>
        <w:gridCol w:w="992"/>
        <w:gridCol w:w="1559"/>
      </w:tblGrid>
      <w:tr w:rsidR="003D1E20" w14:paraId="62CC75D1" w14:textId="77777777" w:rsidTr="00FB5A63">
        <w:trPr>
          <w:trHeight w:val="927"/>
        </w:trPr>
        <w:tc>
          <w:tcPr>
            <w:tcW w:w="2967" w:type="dxa"/>
          </w:tcPr>
          <w:p w14:paraId="70CD017C" w14:textId="77777777" w:rsidR="00C16539" w:rsidRPr="00F948EB" w:rsidRDefault="00C16539" w:rsidP="00FB5A63">
            <w:pPr>
              <w:rPr>
                <w:b/>
              </w:rPr>
            </w:pPr>
            <w:bookmarkStart w:id="0" w:name="_GoBack"/>
            <w:bookmarkEnd w:id="0"/>
            <w:r w:rsidRPr="00F948EB">
              <w:rPr>
                <w:b/>
              </w:rPr>
              <w:t>Fenómeno estudiado</w:t>
            </w:r>
          </w:p>
        </w:tc>
        <w:tc>
          <w:tcPr>
            <w:tcW w:w="1843" w:type="dxa"/>
          </w:tcPr>
          <w:p w14:paraId="03BEDCF9" w14:textId="77777777" w:rsidR="00C16539" w:rsidRPr="00F948EB" w:rsidRDefault="00C16539" w:rsidP="00FB5A63">
            <w:pPr>
              <w:rPr>
                <w:b/>
              </w:rPr>
            </w:pPr>
            <w:r w:rsidRPr="00F948EB">
              <w:rPr>
                <w:b/>
              </w:rPr>
              <w:t>Marco temporal de referencia</w:t>
            </w:r>
          </w:p>
        </w:tc>
        <w:tc>
          <w:tcPr>
            <w:tcW w:w="1417" w:type="dxa"/>
          </w:tcPr>
          <w:p w14:paraId="4C2FF7BA" w14:textId="77777777" w:rsidR="00C16539" w:rsidRPr="00F948EB" w:rsidRDefault="00C16539" w:rsidP="00FB5A63">
            <w:pPr>
              <w:rPr>
                <w:b/>
              </w:rPr>
            </w:pPr>
            <w:r w:rsidRPr="00F948EB">
              <w:rPr>
                <w:b/>
              </w:rPr>
              <w:t>Instrumento</w:t>
            </w:r>
          </w:p>
        </w:tc>
        <w:tc>
          <w:tcPr>
            <w:tcW w:w="1853" w:type="dxa"/>
          </w:tcPr>
          <w:p w14:paraId="673F680B" w14:textId="77777777" w:rsidR="00C16539" w:rsidRPr="00F948EB" w:rsidRDefault="00C16539" w:rsidP="00FB5A63">
            <w:pPr>
              <w:rPr>
                <w:b/>
              </w:rPr>
            </w:pPr>
            <w:r w:rsidRPr="00F948EB">
              <w:rPr>
                <w:b/>
              </w:rPr>
              <w:t>Tipo</w:t>
            </w:r>
          </w:p>
        </w:tc>
        <w:tc>
          <w:tcPr>
            <w:tcW w:w="1266" w:type="dxa"/>
          </w:tcPr>
          <w:p w14:paraId="06876729" w14:textId="3D1CB46A" w:rsidR="00C16539" w:rsidRDefault="00C16539" w:rsidP="00FB5A63">
            <w:pPr>
              <w:rPr>
                <w:b/>
              </w:rPr>
            </w:pPr>
            <w:r>
              <w:rPr>
                <w:b/>
              </w:rPr>
              <w:t>Original</w:t>
            </w:r>
          </w:p>
        </w:tc>
        <w:tc>
          <w:tcPr>
            <w:tcW w:w="992" w:type="dxa"/>
          </w:tcPr>
          <w:p w14:paraId="138D385C" w14:textId="77777777" w:rsidR="00C16539" w:rsidRDefault="00C16539" w:rsidP="00FB5A63">
            <w:pPr>
              <w:rPr>
                <w:b/>
              </w:rPr>
            </w:pPr>
            <w:r>
              <w:rPr>
                <w:b/>
              </w:rPr>
              <w:t>Traducc</w:t>
            </w:r>
          </w:p>
        </w:tc>
        <w:tc>
          <w:tcPr>
            <w:tcW w:w="992" w:type="dxa"/>
          </w:tcPr>
          <w:p w14:paraId="2BB7D832" w14:textId="64F68D4F" w:rsidR="00C16539" w:rsidRPr="00F948EB" w:rsidRDefault="00467557" w:rsidP="00FB5A63">
            <w:pPr>
              <w:rPr>
                <w:b/>
              </w:rPr>
            </w:pPr>
            <w:r>
              <w:rPr>
                <w:b/>
              </w:rPr>
              <w:t>Validación</w:t>
            </w:r>
          </w:p>
        </w:tc>
        <w:tc>
          <w:tcPr>
            <w:tcW w:w="992" w:type="dxa"/>
          </w:tcPr>
          <w:p w14:paraId="46EDC789" w14:textId="77777777" w:rsidR="00C16539" w:rsidRPr="00F948EB" w:rsidRDefault="00C16539" w:rsidP="00FB5A63">
            <w:pPr>
              <w:rPr>
                <w:b/>
              </w:rPr>
            </w:pPr>
            <w:r w:rsidRPr="00F948EB">
              <w:rPr>
                <w:b/>
              </w:rPr>
              <w:t xml:space="preserve">Nº </w:t>
            </w:r>
            <w:r>
              <w:rPr>
                <w:b/>
              </w:rPr>
              <w:t>factores</w:t>
            </w:r>
          </w:p>
        </w:tc>
        <w:tc>
          <w:tcPr>
            <w:tcW w:w="709" w:type="dxa"/>
          </w:tcPr>
          <w:p w14:paraId="2B0CB6A7" w14:textId="77777777" w:rsidR="00C16539" w:rsidRPr="00F948EB" w:rsidRDefault="00C16539" w:rsidP="00FB5A63">
            <w:pPr>
              <w:rPr>
                <w:b/>
              </w:rPr>
            </w:pPr>
            <w:r w:rsidRPr="00F948EB">
              <w:rPr>
                <w:b/>
              </w:rPr>
              <w:t>Nº ítems</w:t>
            </w:r>
          </w:p>
        </w:tc>
        <w:tc>
          <w:tcPr>
            <w:tcW w:w="992" w:type="dxa"/>
          </w:tcPr>
          <w:p w14:paraId="21C7DD04" w14:textId="77777777" w:rsidR="00C16539" w:rsidRPr="00F948EB" w:rsidRDefault="00C16539" w:rsidP="00FB5A63">
            <w:pPr>
              <w:rPr>
                <w:b/>
              </w:rPr>
            </w:pPr>
            <w:r w:rsidRPr="00F948EB">
              <w:rPr>
                <w:b/>
              </w:rPr>
              <w:t>Validez</w:t>
            </w:r>
          </w:p>
        </w:tc>
        <w:tc>
          <w:tcPr>
            <w:tcW w:w="1559" w:type="dxa"/>
          </w:tcPr>
          <w:p w14:paraId="0B76ACB6" w14:textId="77777777" w:rsidR="00C16539" w:rsidRPr="00F948EB" w:rsidRDefault="00C16539" w:rsidP="00FB5A63">
            <w:pPr>
              <w:rPr>
                <w:b/>
              </w:rPr>
            </w:pPr>
            <w:r w:rsidRPr="00F948EB">
              <w:rPr>
                <w:b/>
              </w:rPr>
              <w:t>Confiabilidad</w:t>
            </w:r>
          </w:p>
        </w:tc>
      </w:tr>
      <w:tr w:rsidR="003D1E20" w14:paraId="0EF9FEA7" w14:textId="77777777" w:rsidTr="00FB5A63">
        <w:trPr>
          <w:trHeight w:val="593"/>
        </w:trPr>
        <w:tc>
          <w:tcPr>
            <w:tcW w:w="2967" w:type="dxa"/>
          </w:tcPr>
          <w:p w14:paraId="58D0B980" w14:textId="77777777" w:rsidR="00C16539" w:rsidRDefault="00C16539" w:rsidP="00FB5A63">
            <w:r>
              <w:t>Síntomas depresivos</w:t>
            </w:r>
          </w:p>
        </w:tc>
        <w:tc>
          <w:tcPr>
            <w:tcW w:w="1843" w:type="dxa"/>
          </w:tcPr>
          <w:p w14:paraId="5A6956E3" w14:textId="77777777" w:rsidR="00C16539" w:rsidRDefault="00C16539" w:rsidP="00FB5A63">
            <w:r>
              <w:t>Semana previa</w:t>
            </w:r>
          </w:p>
        </w:tc>
        <w:tc>
          <w:tcPr>
            <w:tcW w:w="1417" w:type="dxa"/>
          </w:tcPr>
          <w:p w14:paraId="1637382E" w14:textId="77777777" w:rsidR="00C16539" w:rsidRDefault="00C16539" w:rsidP="00FB5A63">
            <w:r>
              <w:t>BDI-II</w:t>
            </w:r>
            <w:r w:rsidRPr="00FF1FDE">
              <w:rPr>
                <w:vertAlign w:val="superscript"/>
              </w:rPr>
              <w:t>1</w:t>
            </w:r>
          </w:p>
        </w:tc>
        <w:tc>
          <w:tcPr>
            <w:tcW w:w="1853" w:type="dxa"/>
          </w:tcPr>
          <w:p w14:paraId="5F72FDE6" w14:textId="77777777" w:rsidR="00C16539" w:rsidRDefault="00C16539" w:rsidP="00FB5A63">
            <w:r>
              <w:t>Autocontestado, 4 afirmaciones con puntajes 0-3</w:t>
            </w:r>
          </w:p>
        </w:tc>
        <w:tc>
          <w:tcPr>
            <w:tcW w:w="1266" w:type="dxa"/>
          </w:tcPr>
          <w:p w14:paraId="59833B71" w14:textId="5AF2AA60" w:rsidR="00C16539" w:rsidRPr="00897BC3" w:rsidRDefault="00467557" w:rsidP="00FB5A63">
            <w:pPr>
              <w:rPr>
                <w:rFonts w:eastAsia="Times New Roman"/>
              </w:rPr>
            </w:pPr>
            <w:r>
              <w:rPr>
                <w:rFonts w:eastAsia="Times New Roman"/>
              </w:rPr>
              <w:t>Beck</w:t>
            </w:r>
            <w:r w:rsidRPr="00467557">
              <w:rPr>
                <w:rFonts w:eastAsia="Times New Roman"/>
                <w:vertAlign w:val="superscript"/>
              </w:rPr>
              <w:t>6</w:t>
            </w:r>
          </w:p>
        </w:tc>
        <w:tc>
          <w:tcPr>
            <w:tcW w:w="992" w:type="dxa"/>
          </w:tcPr>
          <w:p w14:paraId="1A8C448E" w14:textId="078D0411" w:rsidR="00C16539" w:rsidRPr="00897BC3" w:rsidRDefault="00C16539" w:rsidP="00FB5A63">
            <w:pPr>
              <w:rPr>
                <w:rFonts w:eastAsia="Times New Roman"/>
              </w:rPr>
            </w:pPr>
            <w:r w:rsidRPr="00897BC3">
              <w:rPr>
                <w:rFonts w:eastAsia="Times New Roman"/>
              </w:rPr>
              <w:t>Sanz, Navarro &amp; Vásquez (2003)</w:t>
            </w:r>
            <w:r w:rsidR="00467557" w:rsidRPr="00467557">
              <w:rPr>
                <w:rFonts w:eastAsia="Times New Roman"/>
                <w:vertAlign w:val="superscript"/>
              </w:rPr>
              <w:t>7</w:t>
            </w:r>
          </w:p>
          <w:p w14:paraId="122EC1A6" w14:textId="77777777" w:rsidR="00C16539" w:rsidRDefault="00C16539" w:rsidP="00FB5A63"/>
        </w:tc>
        <w:tc>
          <w:tcPr>
            <w:tcW w:w="992" w:type="dxa"/>
          </w:tcPr>
          <w:p w14:paraId="26C7AA6A" w14:textId="77777777" w:rsidR="00C16539" w:rsidRPr="00A16F67" w:rsidRDefault="00C16539" w:rsidP="00FB5A63">
            <w:r>
              <w:t>Adolesc. Chil. 11-20</w:t>
            </w:r>
            <w:r w:rsidRPr="00A16F67">
              <w:rPr>
                <w:vertAlign w:val="superscript"/>
              </w:rPr>
              <w:t>1</w:t>
            </w:r>
            <w:r>
              <w:t xml:space="preserve"> (N=893)</w:t>
            </w:r>
          </w:p>
        </w:tc>
        <w:tc>
          <w:tcPr>
            <w:tcW w:w="992" w:type="dxa"/>
          </w:tcPr>
          <w:p w14:paraId="54E16552" w14:textId="77777777" w:rsidR="00C16539" w:rsidRDefault="00C16539" w:rsidP="00FB5A63">
            <w:r>
              <w:t>1</w:t>
            </w:r>
          </w:p>
        </w:tc>
        <w:tc>
          <w:tcPr>
            <w:tcW w:w="709" w:type="dxa"/>
          </w:tcPr>
          <w:p w14:paraId="65F8D932" w14:textId="77777777" w:rsidR="00C16539" w:rsidRDefault="00C16539" w:rsidP="00FB5A63">
            <w:r>
              <w:t>21</w:t>
            </w:r>
          </w:p>
        </w:tc>
        <w:tc>
          <w:tcPr>
            <w:tcW w:w="992" w:type="dxa"/>
          </w:tcPr>
          <w:p w14:paraId="16B14E46" w14:textId="77777777" w:rsidR="00C16539" w:rsidRPr="00E352E2" w:rsidRDefault="00C16539" w:rsidP="00FB5A63">
            <w:r>
              <w:t>Con 20p, S73%, E68%, correc67%</w:t>
            </w:r>
            <w:r w:rsidRPr="005F7291">
              <w:rPr>
                <w:vertAlign w:val="superscript"/>
              </w:rPr>
              <w:t>1</w:t>
            </w:r>
            <w:r>
              <w:t xml:space="preserve"> para disc. Pobl. clínica</w:t>
            </w:r>
          </w:p>
        </w:tc>
        <w:tc>
          <w:tcPr>
            <w:tcW w:w="1559" w:type="dxa"/>
          </w:tcPr>
          <w:p w14:paraId="2B14979E" w14:textId="77777777" w:rsidR="00C16539" w:rsidRDefault="00C16539" w:rsidP="00FB5A63">
            <w:pPr>
              <w:rPr>
                <w:vertAlign w:val="superscript"/>
              </w:rPr>
            </w:pPr>
            <w:r>
              <w:t>Alfa 0.89-0.91</w:t>
            </w:r>
            <w:r w:rsidRPr="00667D0C">
              <w:rPr>
                <w:vertAlign w:val="superscript"/>
              </w:rPr>
              <w:t>1</w:t>
            </w:r>
          </w:p>
          <w:p w14:paraId="5009471D" w14:textId="77777777" w:rsidR="00C16539" w:rsidRPr="00103525" w:rsidRDefault="00C16539" w:rsidP="00FB5A63">
            <w:r>
              <w:t>Correl. Test-retest .66</w:t>
            </w:r>
            <w:r w:rsidRPr="00103525">
              <w:rPr>
                <w:vertAlign w:val="superscript"/>
              </w:rPr>
              <w:t>1</w:t>
            </w:r>
          </w:p>
        </w:tc>
      </w:tr>
      <w:tr w:rsidR="003D1E20" w14:paraId="5C87F377" w14:textId="77777777" w:rsidTr="00FB5A63">
        <w:trPr>
          <w:trHeight w:val="537"/>
        </w:trPr>
        <w:tc>
          <w:tcPr>
            <w:tcW w:w="2967" w:type="dxa"/>
          </w:tcPr>
          <w:p w14:paraId="27AAFB5A" w14:textId="77777777" w:rsidR="00C16539" w:rsidRDefault="00C16539" w:rsidP="00FB5A63">
            <w:r>
              <w:t>Síntomas de estrés postraumático según DSM-IV, cualquier causa</w:t>
            </w:r>
          </w:p>
        </w:tc>
        <w:tc>
          <w:tcPr>
            <w:tcW w:w="1843" w:type="dxa"/>
          </w:tcPr>
          <w:p w14:paraId="65796563" w14:textId="77777777" w:rsidR="00C16539" w:rsidRDefault="00C16539" w:rsidP="00FB5A63">
            <w:r>
              <w:t>1 mes previo</w:t>
            </w:r>
          </w:p>
        </w:tc>
        <w:tc>
          <w:tcPr>
            <w:tcW w:w="1417" w:type="dxa"/>
          </w:tcPr>
          <w:p w14:paraId="7D3381EB" w14:textId="77777777" w:rsidR="00C16539" w:rsidRDefault="00C16539" w:rsidP="00FB5A63">
            <w:r>
              <w:t>PCL-C</w:t>
            </w:r>
          </w:p>
        </w:tc>
        <w:tc>
          <w:tcPr>
            <w:tcW w:w="1853" w:type="dxa"/>
          </w:tcPr>
          <w:p w14:paraId="3C0C1759" w14:textId="2E9B5B47" w:rsidR="00C16539" w:rsidRDefault="00C16539" w:rsidP="00FB5A63">
            <w:r>
              <w:t>Autocontestado Likert 1 (nada)-5</w:t>
            </w:r>
            <w:r w:rsidR="00467557">
              <w:t xml:space="preserve"> </w:t>
            </w:r>
            <w:r w:rsidR="0017024F">
              <w:t>(extremadamente</w:t>
            </w:r>
            <w:r>
              <w:t>)</w:t>
            </w:r>
          </w:p>
        </w:tc>
        <w:tc>
          <w:tcPr>
            <w:tcW w:w="1266" w:type="dxa"/>
          </w:tcPr>
          <w:p w14:paraId="36E8784A" w14:textId="359E2389" w:rsidR="00C16539" w:rsidRDefault="0024380C" w:rsidP="00FB5A63">
            <w:r>
              <w:t>Weathers</w:t>
            </w:r>
            <w:r w:rsidRPr="0024380C">
              <w:rPr>
                <w:vertAlign w:val="superscript"/>
              </w:rPr>
              <w:t>8</w:t>
            </w:r>
          </w:p>
        </w:tc>
        <w:tc>
          <w:tcPr>
            <w:tcW w:w="992" w:type="dxa"/>
          </w:tcPr>
          <w:p w14:paraId="0F5B8940" w14:textId="057C18CA" w:rsidR="00C16539" w:rsidRPr="0017024F" w:rsidRDefault="0017024F" w:rsidP="00FB5A63">
            <w:pPr>
              <w:rPr>
                <w:lang w:val="en-US"/>
              </w:rPr>
            </w:pPr>
            <w:r w:rsidRPr="0017024F">
              <w:rPr>
                <w:rFonts w:eastAsia="Times New Roman"/>
                <w:lang w:val="en-US"/>
              </w:rPr>
              <w:t>Gladys Balmas, Amy Penkin &amp; Chris Thibodeaux (2002)</w:t>
            </w:r>
            <w:r w:rsidRPr="0017024F">
              <w:rPr>
                <w:lang w:val="en-US"/>
              </w:rPr>
              <w:t xml:space="preserve"> </w:t>
            </w:r>
          </w:p>
        </w:tc>
        <w:tc>
          <w:tcPr>
            <w:tcW w:w="992" w:type="dxa"/>
          </w:tcPr>
          <w:p w14:paraId="5E55A27D" w14:textId="77777777" w:rsidR="00C16539" w:rsidRDefault="0017024F" w:rsidP="00FB5A63">
            <w:pPr>
              <w:rPr>
                <w:lang w:val="en-US"/>
              </w:rPr>
            </w:pPr>
            <w:r w:rsidRPr="009C1DFB">
              <w:rPr>
                <w:highlight w:val="yellow"/>
                <w:lang w:val="en-US"/>
              </w:rPr>
              <w:t>Validación propia</w:t>
            </w:r>
          </w:p>
          <w:p w14:paraId="4DDCD7EA" w14:textId="77777777" w:rsidR="00831B8F" w:rsidRDefault="00831B8F" w:rsidP="00FB5A63">
            <w:pPr>
              <w:rPr>
                <w:lang w:val="en-US"/>
              </w:rPr>
            </w:pPr>
          </w:p>
          <w:p w14:paraId="45AD11F9" w14:textId="0888ACDD" w:rsidR="00831B8F" w:rsidRPr="0017024F" w:rsidRDefault="00831B8F" w:rsidP="00FB5A63">
            <w:pPr>
              <w:rPr>
                <w:lang w:val="en-US"/>
              </w:rPr>
            </w:pPr>
            <w:r>
              <w:rPr>
                <w:lang w:val="en-US"/>
              </w:rPr>
              <w:t xml:space="preserve">Vera-Villarroel 2011 </w:t>
            </w:r>
          </w:p>
        </w:tc>
        <w:tc>
          <w:tcPr>
            <w:tcW w:w="992" w:type="dxa"/>
          </w:tcPr>
          <w:p w14:paraId="1B97605D" w14:textId="77777777" w:rsidR="00C16539" w:rsidRPr="0017024F" w:rsidRDefault="00C16539" w:rsidP="00FB5A63">
            <w:pPr>
              <w:rPr>
                <w:lang w:val="en-US"/>
              </w:rPr>
            </w:pPr>
          </w:p>
        </w:tc>
        <w:tc>
          <w:tcPr>
            <w:tcW w:w="709" w:type="dxa"/>
          </w:tcPr>
          <w:p w14:paraId="1958A0A3" w14:textId="77777777" w:rsidR="00C16539" w:rsidRDefault="00C16539" w:rsidP="00FB5A63">
            <w:r>
              <w:t>17</w:t>
            </w:r>
          </w:p>
        </w:tc>
        <w:tc>
          <w:tcPr>
            <w:tcW w:w="992" w:type="dxa"/>
          </w:tcPr>
          <w:p w14:paraId="78174050" w14:textId="77777777" w:rsidR="00C16539" w:rsidRDefault="00C16539" w:rsidP="00FB5A63"/>
        </w:tc>
        <w:tc>
          <w:tcPr>
            <w:tcW w:w="1559" w:type="dxa"/>
          </w:tcPr>
          <w:p w14:paraId="2F0B389F" w14:textId="02F1F006" w:rsidR="00C16539" w:rsidRDefault="00C16539" w:rsidP="00FB5A63"/>
        </w:tc>
      </w:tr>
      <w:tr w:rsidR="003D1E20" w14:paraId="6C97B2FB" w14:textId="77777777" w:rsidTr="00FB5A63">
        <w:trPr>
          <w:trHeight w:val="522"/>
        </w:trPr>
        <w:tc>
          <w:tcPr>
            <w:tcW w:w="2967" w:type="dxa"/>
          </w:tcPr>
          <w:p w14:paraId="669415E9" w14:textId="77777777" w:rsidR="00C16539" w:rsidRDefault="00C16539" w:rsidP="00FB5A63">
            <w:r>
              <w:t>Percepción de apoyo social</w:t>
            </w:r>
          </w:p>
        </w:tc>
        <w:tc>
          <w:tcPr>
            <w:tcW w:w="1843" w:type="dxa"/>
          </w:tcPr>
          <w:p w14:paraId="5A198B3F" w14:textId="77777777" w:rsidR="00C16539" w:rsidRDefault="00C16539" w:rsidP="00FB5A63">
            <w:r>
              <w:t>En el momento de la encuesta</w:t>
            </w:r>
          </w:p>
        </w:tc>
        <w:tc>
          <w:tcPr>
            <w:tcW w:w="1417" w:type="dxa"/>
          </w:tcPr>
          <w:p w14:paraId="20FFD68A" w14:textId="77777777" w:rsidR="00C16539" w:rsidRDefault="00C16539" w:rsidP="00FB5A63">
            <w:r>
              <w:t>MSPSS</w:t>
            </w:r>
            <w:r w:rsidRPr="00FF1FDE">
              <w:rPr>
                <w:vertAlign w:val="superscript"/>
              </w:rPr>
              <w:t>3</w:t>
            </w:r>
          </w:p>
        </w:tc>
        <w:tc>
          <w:tcPr>
            <w:tcW w:w="1853" w:type="dxa"/>
          </w:tcPr>
          <w:p w14:paraId="11D64021" w14:textId="77777777" w:rsidR="00C16539" w:rsidRDefault="00C16539" w:rsidP="00FB5A63">
            <w:r>
              <w:t>Autocontestado Likert 1-4 (casi nunca-siempre/casi siempre)</w:t>
            </w:r>
          </w:p>
        </w:tc>
        <w:tc>
          <w:tcPr>
            <w:tcW w:w="1266" w:type="dxa"/>
          </w:tcPr>
          <w:p w14:paraId="7AF2CE3A" w14:textId="64E1CA98" w:rsidR="00C16539" w:rsidRPr="00C16539" w:rsidRDefault="00C16539" w:rsidP="00FB5A63">
            <w:pPr>
              <w:rPr>
                <w:rFonts w:eastAsia="Times New Roman"/>
              </w:rPr>
            </w:pPr>
            <w:r w:rsidRPr="00C16539">
              <w:rPr>
                <w:rFonts w:ascii="Verdana" w:eastAsia="Times New Roman" w:hAnsi="Verdana"/>
                <w:color w:val="000000"/>
                <w:sz w:val="20"/>
                <w:szCs w:val="20"/>
                <w:shd w:val="clear" w:color="auto" w:fill="FFFFFF"/>
              </w:rPr>
              <w:t>Zimet </w:t>
            </w:r>
            <w:r w:rsidRPr="00C16539">
              <w:rPr>
                <w:rFonts w:ascii="Verdana" w:eastAsia="Times New Roman" w:hAnsi="Verdana"/>
                <w:i/>
                <w:iCs/>
                <w:color w:val="000000"/>
                <w:sz w:val="20"/>
                <w:szCs w:val="20"/>
                <w:shd w:val="clear" w:color="auto" w:fill="FFFFFF"/>
              </w:rPr>
              <w:t>et al</w:t>
            </w:r>
            <w:r w:rsidRPr="00C16539">
              <w:rPr>
                <w:rFonts w:ascii="Verdana" w:eastAsia="Times New Roman" w:hAnsi="Verdana"/>
                <w:color w:val="000000"/>
                <w:sz w:val="20"/>
                <w:szCs w:val="20"/>
                <w:shd w:val="clear" w:color="auto" w:fill="FFFFFF"/>
              </w:rPr>
              <w:t>. 1988</w:t>
            </w:r>
            <w:r w:rsidR="003D1E20" w:rsidRPr="003D1E20">
              <w:rPr>
                <w:rFonts w:ascii="Verdana" w:eastAsia="Times New Roman" w:hAnsi="Verdana"/>
                <w:color w:val="000000"/>
                <w:sz w:val="20"/>
                <w:szCs w:val="20"/>
                <w:shd w:val="clear" w:color="auto" w:fill="FFFFFF"/>
                <w:vertAlign w:val="superscript"/>
              </w:rPr>
              <w:t>5</w:t>
            </w:r>
          </w:p>
          <w:p w14:paraId="6366FD37" w14:textId="77777777" w:rsidR="00C16539" w:rsidRPr="00D61D50" w:rsidRDefault="00C16539" w:rsidP="00FB5A63"/>
        </w:tc>
        <w:tc>
          <w:tcPr>
            <w:tcW w:w="992" w:type="dxa"/>
          </w:tcPr>
          <w:p w14:paraId="010D0EE9" w14:textId="77777777" w:rsidR="00C16539" w:rsidRDefault="00C16539" w:rsidP="00FB5A63">
            <w:r w:rsidRPr="00D61D50">
              <w:t>Arechabala y Miranda 2002</w:t>
            </w:r>
          </w:p>
        </w:tc>
        <w:tc>
          <w:tcPr>
            <w:tcW w:w="992" w:type="dxa"/>
          </w:tcPr>
          <w:p w14:paraId="6D01B1A5" w14:textId="77777777" w:rsidR="00C16539" w:rsidRDefault="00C16539" w:rsidP="00FB5A63">
            <w:r>
              <w:t>Adult. May. &gt;= 60 años, con HTA, RM (N=76)</w:t>
            </w:r>
          </w:p>
        </w:tc>
        <w:tc>
          <w:tcPr>
            <w:tcW w:w="992" w:type="dxa"/>
          </w:tcPr>
          <w:p w14:paraId="7508FF33" w14:textId="52E0B98D" w:rsidR="00C16539" w:rsidRDefault="00C16539" w:rsidP="00FB5A63">
            <w:r>
              <w:t>2</w:t>
            </w:r>
            <w:r w:rsidR="000B1211">
              <w:t xml:space="preserve"> (familia</w:t>
            </w:r>
            <w:r w:rsidR="00251C1F">
              <w:t xml:space="preserve"> [1-5, 8, 10-11]</w:t>
            </w:r>
            <w:r w:rsidR="000B1211">
              <w:t>,  y amigos</w:t>
            </w:r>
            <w:r w:rsidR="00251C1F">
              <w:t xml:space="preserve"> [6-7, 9, 12]</w:t>
            </w:r>
            <w:r w:rsidR="000B1211">
              <w:t>)</w:t>
            </w:r>
          </w:p>
        </w:tc>
        <w:tc>
          <w:tcPr>
            <w:tcW w:w="709" w:type="dxa"/>
          </w:tcPr>
          <w:p w14:paraId="7533416F" w14:textId="77777777" w:rsidR="00C16539" w:rsidRDefault="00C16539" w:rsidP="00FB5A63">
            <w:r>
              <w:t>12</w:t>
            </w:r>
          </w:p>
        </w:tc>
        <w:tc>
          <w:tcPr>
            <w:tcW w:w="992" w:type="dxa"/>
          </w:tcPr>
          <w:p w14:paraId="4A622D8B" w14:textId="77777777" w:rsidR="00C16539" w:rsidRDefault="00C16539" w:rsidP="00FB5A63"/>
        </w:tc>
        <w:tc>
          <w:tcPr>
            <w:tcW w:w="1559" w:type="dxa"/>
          </w:tcPr>
          <w:p w14:paraId="337A0ED4" w14:textId="1691CCA8" w:rsidR="00C16539" w:rsidRDefault="00251C1F" w:rsidP="00FB5A63">
            <w:r>
              <w:t>Alfa .86</w:t>
            </w:r>
            <w:r w:rsidRPr="00C16539">
              <w:rPr>
                <w:vertAlign w:val="superscript"/>
              </w:rPr>
              <w:t>3</w:t>
            </w:r>
          </w:p>
        </w:tc>
      </w:tr>
      <w:tr w:rsidR="003D1E20" w14:paraId="6441371F" w14:textId="77777777" w:rsidTr="00FB5A63">
        <w:trPr>
          <w:trHeight w:val="721"/>
        </w:trPr>
        <w:tc>
          <w:tcPr>
            <w:tcW w:w="2967" w:type="dxa"/>
          </w:tcPr>
          <w:p w14:paraId="12BA2A77" w14:textId="77777777" w:rsidR="00C16539" w:rsidRDefault="00C16539" w:rsidP="00FB5A63">
            <w:r>
              <w:lastRenderedPageBreak/>
              <w:t>Síntomas de distrés peritraumático</w:t>
            </w:r>
          </w:p>
        </w:tc>
        <w:tc>
          <w:tcPr>
            <w:tcW w:w="1843" w:type="dxa"/>
          </w:tcPr>
          <w:p w14:paraId="0AFBE4A3" w14:textId="77777777" w:rsidR="00C16539" w:rsidRDefault="00C16539" w:rsidP="00FB5A63">
            <w:r>
              <w:t>Durante e inmediatamente después trauma</w:t>
            </w:r>
          </w:p>
        </w:tc>
        <w:tc>
          <w:tcPr>
            <w:tcW w:w="1417" w:type="dxa"/>
          </w:tcPr>
          <w:p w14:paraId="7C7EE6AD" w14:textId="77777777" w:rsidR="00C16539" w:rsidRDefault="00C16539" w:rsidP="00FB5A63">
            <w:r>
              <w:t>PDI</w:t>
            </w:r>
            <w:r w:rsidRPr="00FF1FDE">
              <w:rPr>
                <w:vertAlign w:val="superscript"/>
              </w:rPr>
              <w:t>2</w:t>
            </w:r>
          </w:p>
        </w:tc>
        <w:tc>
          <w:tcPr>
            <w:tcW w:w="1853" w:type="dxa"/>
          </w:tcPr>
          <w:p w14:paraId="2B647428" w14:textId="77777777" w:rsidR="00C16539" w:rsidRDefault="00C16539" w:rsidP="00FB5A63">
            <w:r>
              <w:t>Autocontestado Likert 0-4</w:t>
            </w:r>
          </w:p>
        </w:tc>
        <w:tc>
          <w:tcPr>
            <w:tcW w:w="1266" w:type="dxa"/>
          </w:tcPr>
          <w:p w14:paraId="47C8FF5E" w14:textId="6034DB4F" w:rsidR="00C16539" w:rsidRDefault="00475E73" w:rsidP="00FB5A63">
            <w:r>
              <w:t>Brunet 2001</w:t>
            </w:r>
            <w:r w:rsidR="0017024F" w:rsidRPr="0017024F">
              <w:rPr>
                <w:vertAlign w:val="superscript"/>
              </w:rPr>
              <w:t>9</w:t>
            </w:r>
          </w:p>
        </w:tc>
        <w:tc>
          <w:tcPr>
            <w:tcW w:w="992" w:type="dxa"/>
          </w:tcPr>
          <w:p w14:paraId="04F99504" w14:textId="3BDADAE5" w:rsidR="00C16539" w:rsidRDefault="0017024F" w:rsidP="00FB5A63">
            <w:r>
              <w:t>Traducción propia</w:t>
            </w:r>
          </w:p>
        </w:tc>
        <w:tc>
          <w:tcPr>
            <w:tcW w:w="992" w:type="dxa"/>
          </w:tcPr>
          <w:p w14:paraId="75D66216" w14:textId="3F21FA81" w:rsidR="00C16539" w:rsidRPr="009C1DFB" w:rsidRDefault="0017024F" w:rsidP="00FB5A63">
            <w:pPr>
              <w:rPr>
                <w:highlight w:val="yellow"/>
              </w:rPr>
            </w:pPr>
            <w:r w:rsidRPr="009C1DFB">
              <w:rPr>
                <w:highlight w:val="yellow"/>
              </w:rPr>
              <w:t>Validación propia</w:t>
            </w:r>
          </w:p>
        </w:tc>
        <w:tc>
          <w:tcPr>
            <w:tcW w:w="992" w:type="dxa"/>
          </w:tcPr>
          <w:p w14:paraId="3C7DE991" w14:textId="77777777" w:rsidR="00C16539" w:rsidRDefault="00C16539" w:rsidP="00FB5A63"/>
        </w:tc>
        <w:tc>
          <w:tcPr>
            <w:tcW w:w="709" w:type="dxa"/>
          </w:tcPr>
          <w:p w14:paraId="45763804" w14:textId="77777777" w:rsidR="00C16539" w:rsidRDefault="00C16539" w:rsidP="00FB5A63">
            <w:r>
              <w:t>10</w:t>
            </w:r>
          </w:p>
        </w:tc>
        <w:tc>
          <w:tcPr>
            <w:tcW w:w="992" w:type="dxa"/>
          </w:tcPr>
          <w:p w14:paraId="634FD136" w14:textId="77777777" w:rsidR="00C16539" w:rsidRDefault="00C16539" w:rsidP="00FB5A63"/>
        </w:tc>
        <w:tc>
          <w:tcPr>
            <w:tcW w:w="1559" w:type="dxa"/>
          </w:tcPr>
          <w:p w14:paraId="0819E3B4" w14:textId="77777777" w:rsidR="00C16539" w:rsidRDefault="00C16539" w:rsidP="00FB5A63"/>
        </w:tc>
      </w:tr>
      <w:tr w:rsidR="003D1E20" w14:paraId="2A427D4A" w14:textId="77777777" w:rsidTr="00FB5A63">
        <w:trPr>
          <w:trHeight w:val="706"/>
        </w:trPr>
        <w:tc>
          <w:tcPr>
            <w:tcW w:w="2967" w:type="dxa"/>
          </w:tcPr>
          <w:p w14:paraId="34EC8C16" w14:textId="77777777" w:rsidR="00C16539" w:rsidRDefault="00C16539" w:rsidP="00FB5A63">
            <w:r>
              <w:t>Síntomas disociativos peritraumáticos</w:t>
            </w:r>
          </w:p>
        </w:tc>
        <w:tc>
          <w:tcPr>
            <w:tcW w:w="1843" w:type="dxa"/>
          </w:tcPr>
          <w:p w14:paraId="71C6EA14" w14:textId="77777777" w:rsidR="00C16539" w:rsidRDefault="00C16539" w:rsidP="00FB5A63">
            <w:r>
              <w:t>Durante e inmediatamente después trauma</w:t>
            </w:r>
          </w:p>
        </w:tc>
        <w:tc>
          <w:tcPr>
            <w:tcW w:w="1417" w:type="dxa"/>
          </w:tcPr>
          <w:p w14:paraId="770EE30B" w14:textId="77777777" w:rsidR="00C16539" w:rsidRDefault="00C16539" w:rsidP="00FB5A63">
            <w:r>
              <w:t>PDEQ</w:t>
            </w:r>
            <w:r w:rsidRPr="00FF1FDE">
              <w:rPr>
                <w:vertAlign w:val="superscript"/>
              </w:rPr>
              <w:t>2</w:t>
            </w:r>
          </w:p>
        </w:tc>
        <w:tc>
          <w:tcPr>
            <w:tcW w:w="1853" w:type="dxa"/>
          </w:tcPr>
          <w:p w14:paraId="11291EDA" w14:textId="77777777" w:rsidR="00C16539" w:rsidRDefault="00C16539" w:rsidP="00FB5A63">
            <w:r>
              <w:t xml:space="preserve">Autocontestado Likert 1-5 </w:t>
            </w:r>
          </w:p>
        </w:tc>
        <w:tc>
          <w:tcPr>
            <w:tcW w:w="1266" w:type="dxa"/>
          </w:tcPr>
          <w:p w14:paraId="04E08658" w14:textId="7E4012D6" w:rsidR="00347DAD" w:rsidRPr="00347DAD" w:rsidRDefault="00067D84" w:rsidP="00FB5A63">
            <w:pPr>
              <w:rPr>
                <w:rFonts w:eastAsia="Times New Roman"/>
                <w:lang w:val="en-US"/>
              </w:rPr>
            </w:pPr>
            <w:r>
              <w:rPr>
                <w:rFonts w:eastAsia="Times New Roman"/>
                <w:lang w:val="en-US"/>
              </w:rPr>
              <w:t>Marmar</w:t>
            </w:r>
            <w:r w:rsidRPr="00067D84">
              <w:rPr>
                <w:rFonts w:eastAsia="Times New Roman"/>
                <w:vertAlign w:val="superscript"/>
                <w:lang w:val="en-US"/>
              </w:rPr>
              <w:t>4</w:t>
            </w:r>
          </w:p>
          <w:p w14:paraId="71913C6D" w14:textId="77777777" w:rsidR="00C16539" w:rsidRPr="00347DAD" w:rsidRDefault="00C16539" w:rsidP="00FB5A63">
            <w:pPr>
              <w:rPr>
                <w:lang w:val="en-US"/>
              </w:rPr>
            </w:pPr>
          </w:p>
        </w:tc>
        <w:tc>
          <w:tcPr>
            <w:tcW w:w="992" w:type="dxa"/>
          </w:tcPr>
          <w:p w14:paraId="6BC81A61" w14:textId="03ED5D4E" w:rsidR="00C16539" w:rsidRPr="00347DAD" w:rsidRDefault="0017024F" w:rsidP="00FB5A63">
            <w:pPr>
              <w:rPr>
                <w:lang w:val="en-US"/>
              </w:rPr>
            </w:pPr>
            <w:r>
              <w:rPr>
                <w:lang w:val="en-US"/>
              </w:rPr>
              <w:t>Traducción propia</w:t>
            </w:r>
          </w:p>
        </w:tc>
        <w:tc>
          <w:tcPr>
            <w:tcW w:w="992" w:type="dxa"/>
          </w:tcPr>
          <w:p w14:paraId="76A8F3F2" w14:textId="20A213B5" w:rsidR="00C16539" w:rsidRPr="009C1DFB" w:rsidRDefault="0017024F" w:rsidP="00FB5A63">
            <w:pPr>
              <w:rPr>
                <w:highlight w:val="yellow"/>
              </w:rPr>
            </w:pPr>
            <w:r w:rsidRPr="009C1DFB">
              <w:rPr>
                <w:highlight w:val="yellow"/>
              </w:rPr>
              <w:t>Validación propia</w:t>
            </w:r>
          </w:p>
        </w:tc>
        <w:tc>
          <w:tcPr>
            <w:tcW w:w="992" w:type="dxa"/>
          </w:tcPr>
          <w:p w14:paraId="4AA37CBB" w14:textId="77777777" w:rsidR="00C16539" w:rsidRDefault="00C16539" w:rsidP="00FB5A63"/>
        </w:tc>
        <w:tc>
          <w:tcPr>
            <w:tcW w:w="709" w:type="dxa"/>
          </w:tcPr>
          <w:p w14:paraId="7CF4E879" w14:textId="77777777" w:rsidR="00C16539" w:rsidRDefault="00C16539" w:rsidP="00FB5A63">
            <w:r>
              <w:t>10</w:t>
            </w:r>
          </w:p>
        </w:tc>
        <w:tc>
          <w:tcPr>
            <w:tcW w:w="992" w:type="dxa"/>
          </w:tcPr>
          <w:p w14:paraId="5A87624A" w14:textId="77777777" w:rsidR="00C16539" w:rsidRDefault="00C16539" w:rsidP="00FB5A63"/>
        </w:tc>
        <w:tc>
          <w:tcPr>
            <w:tcW w:w="1559" w:type="dxa"/>
          </w:tcPr>
          <w:p w14:paraId="16D2A64C" w14:textId="77777777" w:rsidR="00C16539" w:rsidRDefault="00C16539" w:rsidP="00FB5A63"/>
        </w:tc>
      </w:tr>
      <w:tr w:rsidR="003D1E20" w14:paraId="410A243B" w14:textId="77777777" w:rsidTr="00FB5A63">
        <w:trPr>
          <w:trHeight w:val="706"/>
        </w:trPr>
        <w:tc>
          <w:tcPr>
            <w:tcW w:w="2967" w:type="dxa"/>
          </w:tcPr>
          <w:p w14:paraId="53CD44E4" w14:textId="77777777" w:rsidR="00C16539" w:rsidRDefault="00C16539" w:rsidP="00FB5A63">
            <w:r>
              <w:t>Carga traumática previa</w:t>
            </w:r>
          </w:p>
        </w:tc>
        <w:tc>
          <w:tcPr>
            <w:tcW w:w="1843" w:type="dxa"/>
          </w:tcPr>
          <w:p w14:paraId="04D8C3D6" w14:textId="77777777" w:rsidR="00C16539" w:rsidRDefault="00C16539" w:rsidP="00FB5A63">
            <w:r>
              <w:t>Alguna vez en la vida</w:t>
            </w:r>
          </w:p>
        </w:tc>
        <w:tc>
          <w:tcPr>
            <w:tcW w:w="1417" w:type="dxa"/>
          </w:tcPr>
          <w:p w14:paraId="0ADD9687" w14:textId="0A288DA2" w:rsidR="00C16539" w:rsidRDefault="00C16539" w:rsidP="00FB5A63">
            <w:r>
              <w:t>TQ</w:t>
            </w:r>
            <w:r w:rsidR="005675C1">
              <w:t xml:space="preserve"> (parte 1, sobre experiencias traumáticas en la vida)</w:t>
            </w:r>
          </w:p>
        </w:tc>
        <w:tc>
          <w:tcPr>
            <w:tcW w:w="1853" w:type="dxa"/>
          </w:tcPr>
          <w:p w14:paraId="71E46BD7" w14:textId="77777777" w:rsidR="00C16539" w:rsidRDefault="00C16539" w:rsidP="00FB5A63">
            <w:r>
              <w:t>Autocontestado Si/No</w:t>
            </w:r>
          </w:p>
        </w:tc>
        <w:tc>
          <w:tcPr>
            <w:tcW w:w="1266" w:type="dxa"/>
          </w:tcPr>
          <w:p w14:paraId="630A1D26" w14:textId="0188B0E6" w:rsidR="00C16539" w:rsidRDefault="005A3397" w:rsidP="00FB5A63">
            <w:r>
              <w:t>Davidson 1998</w:t>
            </w:r>
            <w:r w:rsidR="00A861FF" w:rsidRPr="00A861FF">
              <w:rPr>
                <w:vertAlign w:val="superscript"/>
              </w:rPr>
              <w:t>1</w:t>
            </w:r>
            <w:r w:rsidR="005675C1">
              <w:rPr>
                <w:vertAlign w:val="superscript"/>
              </w:rPr>
              <w:t>0</w:t>
            </w:r>
          </w:p>
        </w:tc>
        <w:tc>
          <w:tcPr>
            <w:tcW w:w="992" w:type="dxa"/>
          </w:tcPr>
          <w:p w14:paraId="160D395D" w14:textId="45DE2C38" w:rsidR="00C16539" w:rsidRDefault="005675C1" w:rsidP="00FB5A63">
            <w:r>
              <w:t>Bobes 2000</w:t>
            </w:r>
            <w:r w:rsidRPr="005675C1">
              <w:rPr>
                <w:vertAlign w:val="superscript"/>
              </w:rPr>
              <w:t>11-12</w:t>
            </w:r>
          </w:p>
        </w:tc>
        <w:tc>
          <w:tcPr>
            <w:tcW w:w="992" w:type="dxa"/>
          </w:tcPr>
          <w:p w14:paraId="145E503F" w14:textId="5653BD98" w:rsidR="00C16539" w:rsidRDefault="005675C1" w:rsidP="00FB5A63">
            <w:r>
              <w:t>Población hispanoparlante</w:t>
            </w:r>
          </w:p>
        </w:tc>
        <w:tc>
          <w:tcPr>
            <w:tcW w:w="992" w:type="dxa"/>
          </w:tcPr>
          <w:p w14:paraId="013941DB" w14:textId="77777777" w:rsidR="00C16539" w:rsidRDefault="00C16539" w:rsidP="00FB5A63"/>
        </w:tc>
        <w:tc>
          <w:tcPr>
            <w:tcW w:w="709" w:type="dxa"/>
          </w:tcPr>
          <w:p w14:paraId="0CA00E2F" w14:textId="77777777" w:rsidR="00C16539" w:rsidRDefault="00C16539" w:rsidP="00FB5A63">
            <w:r>
              <w:t>18</w:t>
            </w:r>
          </w:p>
        </w:tc>
        <w:tc>
          <w:tcPr>
            <w:tcW w:w="992" w:type="dxa"/>
          </w:tcPr>
          <w:p w14:paraId="734CC736" w14:textId="77777777" w:rsidR="00C16539" w:rsidRDefault="00C16539" w:rsidP="00FB5A63"/>
        </w:tc>
        <w:tc>
          <w:tcPr>
            <w:tcW w:w="1559" w:type="dxa"/>
          </w:tcPr>
          <w:p w14:paraId="6383596A" w14:textId="50CE393F" w:rsidR="005675C1" w:rsidRDefault="005675C1" w:rsidP="00FB5A63"/>
        </w:tc>
      </w:tr>
    </w:tbl>
    <w:p w14:paraId="09CD76C0" w14:textId="77777777" w:rsidR="005E186B" w:rsidRDefault="005E186B"/>
    <w:p w14:paraId="160EAEE2" w14:textId="77777777" w:rsidR="00FF1FDE" w:rsidRDefault="00FF1FDE"/>
    <w:p w14:paraId="4C57CF25" w14:textId="77777777" w:rsidR="00FF1FDE" w:rsidRDefault="00FF1FDE"/>
    <w:p w14:paraId="5FB29D60" w14:textId="77777777" w:rsidR="00FF1FDE" w:rsidRDefault="00FF1FDE"/>
    <w:p w14:paraId="624C4B08" w14:textId="77777777" w:rsidR="00FF1FDE" w:rsidRDefault="00FF1FDE"/>
    <w:p w14:paraId="23E765F9" w14:textId="77777777" w:rsidR="00FF1FDE" w:rsidRDefault="00FF1FDE"/>
    <w:p w14:paraId="7F3FC2CA" w14:textId="77777777" w:rsidR="00FF1FDE" w:rsidRDefault="00FF1FDE"/>
    <w:p w14:paraId="4C20CE92" w14:textId="77777777" w:rsidR="00FF1FDE" w:rsidRDefault="00FF1FDE"/>
    <w:p w14:paraId="21A19560" w14:textId="77777777" w:rsidR="00FF1FDE" w:rsidRDefault="00FF1FDE"/>
    <w:p w14:paraId="4EEC51A6" w14:textId="77777777" w:rsidR="00FF1FDE" w:rsidRDefault="00FF1FDE"/>
    <w:p w14:paraId="5B053BF9" w14:textId="77777777" w:rsidR="00FF1FDE" w:rsidRDefault="00FF1FDE"/>
    <w:p w14:paraId="72DAA428" w14:textId="77777777" w:rsidR="00FF1FDE" w:rsidRDefault="00FF1FDE"/>
    <w:p w14:paraId="446BDCA7" w14:textId="77777777" w:rsidR="00FF1FDE" w:rsidRPr="00FF1FDE" w:rsidRDefault="00FF1FDE" w:rsidP="00FF1FDE">
      <w:pPr>
        <w:pStyle w:val="ListParagraph"/>
        <w:widowControl w:val="0"/>
        <w:autoSpaceDE w:val="0"/>
        <w:autoSpaceDN w:val="0"/>
        <w:adjustRightInd w:val="0"/>
        <w:spacing w:after="240" w:line="260" w:lineRule="atLeast"/>
        <w:rPr>
          <w:rFonts w:ascii="Times" w:hAnsi="Times" w:cs="Times"/>
          <w:color w:val="000000"/>
        </w:rPr>
      </w:pPr>
    </w:p>
    <w:p w14:paraId="78FCBE6B" w14:textId="77777777" w:rsidR="00FF1FDE" w:rsidRPr="00FF1FDE" w:rsidRDefault="00FF1FDE" w:rsidP="00FF1FDE">
      <w:pPr>
        <w:pStyle w:val="ListParagraph"/>
        <w:widowControl w:val="0"/>
        <w:autoSpaceDE w:val="0"/>
        <w:autoSpaceDN w:val="0"/>
        <w:adjustRightInd w:val="0"/>
        <w:spacing w:after="240" w:line="260" w:lineRule="atLeast"/>
        <w:rPr>
          <w:rFonts w:ascii="Times" w:hAnsi="Times" w:cs="Times"/>
          <w:color w:val="000000"/>
        </w:rPr>
      </w:pPr>
    </w:p>
    <w:p w14:paraId="13220137" w14:textId="77777777" w:rsidR="00FF1FDE" w:rsidRPr="00FF1FDE" w:rsidRDefault="00FF1FDE" w:rsidP="00FF1FDE">
      <w:pPr>
        <w:pStyle w:val="ListParagraph"/>
        <w:widowControl w:val="0"/>
        <w:autoSpaceDE w:val="0"/>
        <w:autoSpaceDN w:val="0"/>
        <w:adjustRightInd w:val="0"/>
        <w:spacing w:after="240" w:line="260" w:lineRule="atLeast"/>
        <w:rPr>
          <w:rFonts w:ascii="Times" w:hAnsi="Times" w:cs="Times"/>
          <w:color w:val="000000"/>
        </w:rPr>
      </w:pPr>
    </w:p>
    <w:p w14:paraId="1A9555A7" w14:textId="77777777" w:rsidR="00FF1FDE" w:rsidRPr="00FF1FDE" w:rsidRDefault="00FF1FDE" w:rsidP="00FF1FDE">
      <w:pPr>
        <w:pStyle w:val="ListParagraph"/>
        <w:widowControl w:val="0"/>
        <w:autoSpaceDE w:val="0"/>
        <w:autoSpaceDN w:val="0"/>
        <w:adjustRightInd w:val="0"/>
        <w:spacing w:after="240" w:line="260" w:lineRule="atLeast"/>
        <w:rPr>
          <w:rFonts w:ascii="Times" w:hAnsi="Times" w:cs="Times"/>
          <w:color w:val="000000"/>
        </w:rPr>
      </w:pPr>
    </w:p>
    <w:p w14:paraId="6E03A3C2" w14:textId="77777777" w:rsidR="00FF1FDE" w:rsidRPr="00FF1FDE" w:rsidRDefault="00FF1FDE" w:rsidP="00FF1FDE">
      <w:pPr>
        <w:pStyle w:val="ListParagraph"/>
        <w:widowControl w:val="0"/>
        <w:autoSpaceDE w:val="0"/>
        <w:autoSpaceDN w:val="0"/>
        <w:adjustRightInd w:val="0"/>
        <w:spacing w:after="240" w:line="260" w:lineRule="atLeast"/>
        <w:rPr>
          <w:rFonts w:ascii="Times" w:hAnsi="Times" w:cs="Times"/>
          <w:color w:val="000000"/>
        </w:rPr>
      </w:pPr>
    </w:p>
    <w:p w14:paraId="61FC3635" w14:textId="22CE472E" w:rsidR="00FF1FDE" w:rsidRPr="00FF1FDE" w:rsidRDefault="00FF1FDE" w:rsidP="00FF1FDE">
      <w:pPr>
        <w:pStyle w:val="ListParagraph"/>
        <w:widowControl w:val="0"/>
        <w:numPr>
          <w:ilvl w:val="0"/>
          <w:numId w:val="1"/>
        </w:numPr>
        <w:autoSpaceDE w:val="0"/>
        <w:autoSpaceDN w:val="0"/>
        <w:adjustRightInd w:val="0"/>
        <w:spacing w:after="240" w:line="260" w:lineRule="atLeast"/>
        <w:rPr>
          <w:rFonts w:ascii="Times" w:hAnsi="Times" w:cs="Times"/>
          <w:color w:val="000000"/>
        </w:rPr>
      </w:pPr>
      <w:r w:rsidRPr="00FF1FDE">
        <w:rPr>
          <w:rFonts w:ascii="Times" w:hAnsi="Times" w:cs="Times"/>
          <w:color w:val="000000"/>
          <w:sz w:val="21"/>
          <w:szCs w:val="21"/>
        </w:rPr>
        <w:t xml:space="preserve">Melipillán Araneda, Roberto, Cova Solar, Félix, Rincón González, Paulina, &amp; Valdivia Peralta, Mario. (2008). Propiedades Psicométricas del Inventario de Depresión de Beck-II en Adolescentes Chilenos. </w:t>
      </w:r>
      <w:r w:rsidRPr="00FF1FDE">
        <w:rPr>
          <w:rFonts w:ascii="Times" w:hAnsi="Times" w:cs="Times"/>
          <w:i/>
          <w:iCs/>
          <w:color w:val="000000"/>
          <w:sz w:val="21"/>
          <w:szCs w:val="21"/>
        </w:rPr>
        <w:t>Terapia psicológica</w:t>
      </w:r>
      <w:r w:rsidRPr="00FF1FDE">
        <w:rPr>
          <w:rFonts w:ascii="Times" w:hAnsi="Times" w:cs="Times"/>
          <w:color w:val="000000"/>
          <w:sz w:val="21"/>
          <w:szCs w:val="21"/>
        </w:rPr>
        <w:t xml:space="preserve">, </w:t>
      </w:r>
      <w:r w:rsidRPr="00FF1FDE">
        <w:rPr>
          <w:rFonts w:ascii="Times" w:hAnsi="Times" w:cs="Times"/>
          <w:i/>
          <w:iCs/>
          <w:color w:val="000000"/>
          <w:sz w:val="21"/>
          <w:szCs w:val="21"/>
        </w:rPr>
        <w:t>26</w:t>
      </w:r>
      <w:r w:rsidRPr="00FF1FDE">
        <w:rPr>
          <w:rFonts w:ascii="Times" w:hAnsi="Times" w:cs="Times"/>
          <w:color w:val="000000"/>
          <w:sz w:val="21"/>
          <w:szCs w:val="21"/>
        </w:rPr>
        <w:t>(1), 59-69.</w:t>
      </w:r>
    </w:p>
    <w:p w14:paraId="5E8D66DB" w14:textId="6A50E352" w:rsidR="00FF1FDE" w:rsidRPr="00FF1FDE" w:rsidRDefault="00D45A31" w:rsidP="00FF1FDE">
      <w:pPr>
        <w:pStyle w:val="ListParagraph"/>
        <w:widowControl w:val="0"/>
        <w:numPr>
          <w:ilvl w:val="0"/>
          <w:numId w:val="1"/>
        </w:numPr>
        <w:autoSpaceDE w:val="0"/>
        <w:autoSpaceDN w:val="0"/>
        <w:adjustRightInd w:val="0"/>
        <w:spacing w:after="240" w:line="260" w:lineRule="atLeast"/>
        <w:rPr>
          <w:rFonts w:ascii="Times" w:hAnsi="Times" w:cs="Times"/>
          <w:color w:val="000000"/>
        </w:rPr>
      </w:pPr>
      <w:hyperlink r:id="rId5" w:history="1">
        <w:r w:rsidR="00FF1FDE" w:rsidRPr="00715881">
          <w:rPr>
            <w:rStyle w:val="Hyperlink"/>
          </w:rPr>
          <w:t>http://www.info-trauma.org/flash/media-e/triageToolkit.pdf</w:t>
        </w:r>
      </w:hyperlink>
    </w:p>
    <w:p w14:paraId="422BD668" w14:textId="77777777" w:rsidR="00067D84" w:rsidRPr="00067D84" w:rsidRDefault="00FF1FDE" w:rsidP="00FF1FDE">
      <w:pPr>
        <w:pStyle w:val="ListParagraph"/>
        <w:widowControl w:val="0"/>
        <w:numPr>
          <w:ilvl w:val="0"/>
          <w:numId w:val="1"/>
        </w:numPr>
        <w:autoSpaceDE w:val="0"/>
        <w:autoSpaceDN w:val="0"/>
        <w:adjustRightInd w:val="0"/>
        <w:spacing w:after="240" w:line="260" w:lineRule="atLeast"/>
        <w:rPr>
          <w:rFonts w:ascii="Times" w:hAnsi="Times" w:cs="Times"/>
          <w:color w:val="000000"/>
          <w:lang w:val="en-US"/>
        </w:rPr>
      </w:pPr>
      <w:r w:rsidRPr="00D61D50">
        <w:lastRenderedPageBreak/>
        <w:t>Arechabala y Miranda 2002</w:t>
      </w:r>
      <w:r w:rsidR="004202EF">
        <w:t>.</w:t>
      </w:r>
    </w:p>
    <w:p w14:paraId="6B8949E2" w14:textId="77777777" w:rsidR="003D1E20" w:rsidRPr="003D1E20" w:rsidRDefault="00067D84" w:rsidP="003D1E20">
      <w:pPr>
        <w:pStyle w:val="ListParagraph"/>
        <w:numPr>
          <w:ilvl w:val="0"/>
          <w:numId w:val="1"/>
        </w:numPr>
        <w:rPr>
          <w:rFonts w:ascii="Times New Roman" w:eastAsia="Times New Roman" w:hAnsi="Times New Roman" w:cs="Times New Roman"/>
          <w:lang w:val="en-US"/>
        </w:rPr>
      </w:pPr>
      <w:r w:rsidRPr="00067D84">
        <w:rPr>
          <w:rFonts w:eastAsia="Times New Roman"/>
          <w:lang w:val="en-US"/>
        </w:rPr>
        <w:t>Marmar CR, Weiss DS, Metzler TJ: The Peritraumatic Dissociative Experiences Questionnaire, in Assessing Psychological Trauma and PTSD: A Handbook for Practitioners. Edited by Wilson JP, Keane TM. New York, Guilford, 1997, pp 412–428</w:t>
      </w:r>
    </w:p>
    <w:p w14:paraId="0DD7B61B" w14:textId="32EDB913" w:rsidR="00FF1FDE" w:rsidRPr="00467557" w:rsidRDefault="003D1E20" w:rsidP="003D1E20">
      <w:pPr>
        <w:pStyle w:val="ListParagraph"/>
        <w:numPr>
          <w:ilvl w:val="0"/>
          <w:numId w:val="1"/>
        </w:numPr>
        <w:rPr>
          <w:rFonts w:ascii="Times New Roman" w:eastAsia="Times New Roman" w:hAnsi="Times New Roman" w:cs="Times New Roman"/>
          <w:lang w:val="en-US"/>
        </w:rPr>
      </w:pPr>
      <w:r w:rsidRPr="003D1E20">
        <w:rPr>
          <w:rFonts w:ascii="Arial" w:eastAsia="Times New Roman" w:hAnsi="Arial" w:cs="Arial"/>
          <w:color w:val="222222"/>
          <w:sz w:val="20"/>
          <w:szCs w:val="20"/>
          <w:shd w:val="clear" w:color="auto" w:fill="F8F8F8"/>
          <w:lang w:val="en-US"/>
        </w:rPr>
        <w:t>Zimet, G. D., Dahlem, N. W., Zimet, S. G., &amp; Farley, G. K. (1988). The multidimensional scale of perceived social support. </w:t>
      </w:r>
      <w:r w:rsidRPr="003D1E20">
        <w:rPr>
          <w:rFonts w:ascii="Arial" w:eastAsia="Times New Roman" w:hAnsi="Arial" w:cs="Arial"/>
          <w:i/>
          <w:iCs/>
          <w:color w:val="222222"/>
          <w:sz w:val="20"/>
          <w:szCs w:val="20"/>
          <w:shd w:val="clear" w:color="auto" w:fill="F8F8F8"/>
          <w:lang w:val="en-US"/>
        </w:rPr>
        <w:t>Journal of personality assessment</w:t>
      </w:r>
      <w:r w:rsidRPr="003D1E20">
        <w:rPr>
          <w:rFonts w:ascii="Arial" w:eastAsia="Times New Roman" w:hAnsi="Arial" w:cs="Arial"/>
          <w:color w:val="222222"/>
          <w:sz w:val="20"/>
          <w:szCs w:val="20"/>
          <w:shd w:val="clear" w:color="auto" w:fill="F8F8F8"/>
          <w:lang w:val="en-US"/>
        </w:rPr>
        <w:t>, </w:t>
      </w:r>
      <w:r w:rsidRPr="003D1E20">
        <w:rPr>
          <w:rFonts w:ascii="Arial" w:eastAsia="Times New Roman" w:hAnsi="Arial" w:cs="Arial"/>
          <w:i/>
          <w:iCs/>
          <w:color w:val="222222"/>
          <w:sz w:val="20"/>
          <w:szCs w:val="20"/>
          <w:shd w:val="clear" w:color="auto" w:fill="F8F8F8"/>
          <w:lang w:val="en-US"/>
        </w:rPr>
        <w:t>52</w:t>
      </w:r>
      <w:r w:rsidRPr="003D1E20">
        <w:rPr>
          <w:rFonts w:ascii="Arial" w:eastAsia="Times New Roman" w:hAnsi="Arial" w:cs="Arial"/>
          <w:color w:val="222222"/>
          <w:sz w:val="20"/>
          <w:szCs w:val="20"/>
          <w:shd w:val="clear" w:color="auto" w:fill="F8F8F8"/>
          <w:lang w:val="en-US"/>
        </w:rPr>
        <w:t>(1), 30-41.</w:t>
      </w:r>
    </w:p>
    <w:p w14:paraId="5E868F3B" w14:textId="77777777" w:rsidR="00467557" w:rsidRPr="00467557" w:rsidRDefault="00467557" w:rsidP="00467557">
      <w:pPr>
        <w:pStyle w:val="ListParagraph"/>
        <w:numPr>
          <w:ilvl w:val="0"/>
          <w:numId w:val="1"/>
        </w:numPr>
        <w:rPr>
          <w:rFonts w:ascii="Times New Roman" w:eastAsia="Times New Roman" w:hAnsi="Times New Roman" w:cs="Times New Roman"/>
        </w:rPr>
      </w:pPr>
      <w:r w:rsidRPr="00467557">
        <w:rPr>
          <w:rFonts w:ascii="Verdana" w:eastAsia="Times New Roman" w:hAnsi="Verdana"/>
          <w:color w:val="000000"/>
          <w:shd w:val="clear" w:color="auto" w:fill="FFFFFF"/>
          <w:lang w:val="en-US"/>
        </w:rPr>
        <w:t>Beck, A.T., Steer, R.A. &amp; Brown, G.K. (1996). </w:t>
      </w:r>
      <w:r w:rsidRPr="00467557">
        <w:rPr>
          <w:rFonts w:ascii="Verdana" w:eastAsia="Times New Roman" w:hAnsi="Verdana"/>
          <w:i/>
          <w:iCs/>
          <w:color w:val="000000"/>
          <w:shd w:val="clear" w:color="auto" w:fill="FFFFFF"/>
          <w:lang w:val="en-US"/>
        </w:rPr>
        <w:t xml:space="preserve">BDI-II. Beck Depression Inventory-second edition. </w:t>
      </w:r>
      <w:r w:rsidRPr="00467557">
        <w:rPr>
          <w:rFonts w:ascii="Verdana" w:eastAsia="Times New Roman" w:hAnsi="Verdana"/>
          <w:i/>
          <w:iCs/>
          <w:color w:val="000000"/>
          <w:shd w:val="clear" w:color="auto" w:fill="FFFFFF"/>
        </w:rPr>
        <w:t>Manual. </w:t>
      </w:r>
      <w:r w:rsidRPr="00467557">
        <w:rPr>
          <w:rFonts w:ascii="Verdana" w:eastAsia="Times New Roman" w:hAnsi="Verdana"/>
          <w:color w:val="000000"/>
          <w:shd w:val="clear" w:color="auto" w:fill="FFFFFF"/>
        </w:rPr>
        <w:t>San Antonio: The Psychological Corporation.</w:t>
      </w:r>
    </w:p>
    <w:p w14:paraId="495ACB28" w14:textId="77777777" w:rsidR="00467557" w:rsidRPr="00467557" w:rsidRDefault="00467557" w:rsidP="00467557">
      <w:pPr>
        <w:pStyle w:val="ListParagraph"/>
        <w:numPr>
          <w:ilvl w:val="0"/>
          <w:numId w:val="1"/>
        </w:numPr>
        <w:rPr>
          <w:rFonts w:ascii="Times New Roman" w:eastAsia="Times New Roman" w:hAnsi="Times New Roman" w:cs="Times New Roman"/>
        </w:rPr>
      </w:pPr>
      <w:r w:rsidRPr="00467557">
        <w:rPr>
          <w:rFonts w:ascii="Verdana" w:eastAsia="Times New Roman" w:hAnsi="Verdana"/>
          <w:color w:val="000000"/>
          <w:shd w:val="clear" w:color="auto" w:fill="FFFFFF"/>
        </w:rPr>
        <w:t>Sanz, J., Navarro, M.E. &amp; Vázquez, C. (2003). Adaptación española del Inventario para la Depresión de Beck-II (BDI-II): 1. Propiedades psicométricas en estudiantes universitarios. </w:t>
      </w:r>
      <w:r w:rsidRPr="00467557">
        <w:rPr>
          <w:rFonts w:ascii="Verdana" w:eastAsia="Times New Roman" w:hAnsi="Verdana"/>
          <w:i/>
          <w:iCs/>
          <w:color w:val="000000"/>
          <w:shd w:val="clear" w:color="auto" w:fill="FFFFFF"/>
        </w:rPr>
        <w:t>Análisis y Modificación de Conducta, 29, </w:t>
      </w:r>
      <w:r w:rsidRPr="00467557">
        <w:rPr>
          <w:rFonts w:ascii="Verdana" w:eastAsia="Times New Roman" w:hAnsi="Verdana"/>
          <w:color w:val="000000"/>
          <w:shd w:val="clear" w:color="auto" w:fill="FFFFFF"/>
        </w:rPr>
        <w:t>239-288.</w:t>
      </w:r>
    </w:p>
    <w:p w14:paraId="0B1AF4EE" w14:textId="77777777" w:rsidR="0024380C" w:rsidRPr="0024380C" w:rsidRDefault="0024380C" w:rsidP="0024380C">
      <w:pPr>
        <w:pStyle w:val="ListParagraph"/>
        <w:numPr>
          <w:ilvl w:val="0"/>
          <w:numId w:val="1"/>
        </w:numPr>
        <w:rPr>
          <w:rFonts w:ascii="Times New Roman" w:eastAsia="Times New Roman" w:hAnsi="Times New Roman" w:cs="Times New Roman"/>
          <w:lang w:val="en-US"/>
        </w:rPr>
      </w:pPr>
      <w:r w:rsidRPr="0024380C">
        <w:rPr>
          <w:rStyle w:val="f1000-at-ignore"/>
          <w:rFonts w:ascii="Times" w:eastAsia="Times New Roman" w:hAnsi="Times"/>
          <w:sz w:val="21"/>
          <w:szCs w:val="21"/>
          <w:shd w:val="clear" w:color="auto" w:fill="FFFFFF"/>
          <w:lang w:val="en-US"/>
        </w:rPr>
        <w:t>Weathers, F., Litz, B., Herman, D., Huska, J., &amp; Keane, T. (1993) The PTSD Checklist (PCL): reliability, validity, and diagnostic utility. Paper presented at the Annual  Convention of the International Society for Traumatic Stress Studies, San Antonio,  TX, October.</w:t>
      </w:r>
    </w:p>
    <w:p w14:paraId="16DFD5EE" w14:textId="77777777" w:rsidR="0017024F" w:rsidRPr="0017024F" w:rsidRDefault="0017024F" w:rsidP="0017024F">
      <w:pPr>
        <w:pStyle w:val="ListParagraph"/>
        <w:numPr>
          <w:ilvl w:val="0"/>
          <w:numId w:val="1"/>
        </w:numPr>
        <w:rPr>
          <w:rFonts w:ascii="Times New Roman" w:eastAsia="Times New Roman" w:hAnsi="Times New Roman" w:cs="Times New Roman"/>
        </w:rPr>
      </w:pPr>
      <w:r w:rsidRPr="0017024F">
        <w:rPr>
          <w:rFonts w:eastAsia="Times New Roman"/>
          <w:lang w:val="en-US"/>
        </w:rPr>
        <w:t xml:space="preserve">Brunet A, Weiss DS, Metzler TJ, Best SR, Neylan TC, Rogers C, et coll.. The Peritraumatic Distress Inventory: a proposed measure of PTSD Criterion A2. </w:t>
      </w:r>
      <w:r w:rsidRPr="0017024F">
        <w:rPr>
          <w:rFonts w:eastAsia="Times New Roman"/>
        </w:rPr>
        <w:t>Am J Psychiatry 2001;158:1480 –5.</w:t>
      </w:r>
    </w:p>
    <w:p w14:paraId="29FDE7B8" w14:textId="33B08C7C" w:rsidR="00467557" w:rsidRPr="005675C1" w:rsidRDefault="005675C1" w:rsidP="005675C1">
      <w:pPr>
        <w:pStyle w:val="ListParagraph"/>
        <w:numPr>
          <w:ilvl w:val="0"/>
          <w:numId w:val="1"/>
        </w:numPr>
        <w:rPr>
          <w:rFonts w:ascii="Times New Roman" w:eastAsia="Times New Roman" w:hAnsi="Times New Roman" w:cs="Times New Roman"/>
        </w:rPr>
      </w:pPr>
      <w:r w:rsidRPr="005675C1">
        <w:rPr>
          <w:rFonts w:ascii="Arial" w:eastAsia="Times New Roman" w:hAnsi="Arial" w:cs="Arial"/>
          <w:color w:val="666666"/>
          <w:sz w:val="17"/>
          <w:szCs w:val="17"/>
          <w:shd w:val="clear" w:color="auto" w:fill="FFFFFF"/>
          <w:lang w:val="en-US"/>
        </w:rPr>
        <w:t xml:space="preserve">Davidson JRT, Smith R. Traumatic experiences in psychiatric outpatients. </w:t>
      </w:r>
      <w:r w:rsidRPr="005675C1">
        <w:rPr>
          <w:rFonts w:ascii="Arial" w:eastAsia="Times New Roman" w:hAnsi="Arial" w:cs="Arial"/>
          <w:color w:val="666666"/>
          <w:sz w:val="17"/>
          <w:szCs w:val="17"/>
          <w:shd w:val="clear" w:color="auto" w:fill="FFFFFF"/>
        </w:rPr>
        <w:t>J Trauma Stress 1990; 3: 459-75.</w:t>
      </w:r>
    </w:p>
    <w:p w14:paraId="1EBA71F3" w14:textId="77777777" w:rsidR="005675C1" w:rsidRPr="005675C1" w:rsidRDefault="005675C1" w:rsidP="005675C1">
      <w:pPr>
        <w:pStyle w:val="ListParagraph"/>
        <w:numPr>
          <w:ilvl w:val="0"/>
          <w:numId w:val="1"/>
        </w:numPr>
        <w:rPr>
          <w:rFonts w:ascii="Times New Roman" w:eastAsia="Times New Roman" w:hAnsi="Times New Roman" w:cs="Times New Roman"/>
        </w:rPr>
      </w:pPr>
      <w:r w:rsidRPr="005675C1">
        <w:rPr>
          <w:rFonts w:ascii="Arial" w:eastAsia="Times New Roman" w:hAnsi="Arial" w:cs="Arial"/>
          <w:color w:val="666666"/>
          <w:sz w:val="17"/>
          <w:szCs w:val="17"/>
          <w:shd w:val="clear" w:color="auto" w:fill="FFFFFF"/>
        </w:rPr>
        <w:t>Bobes J, Calcedo-Barba A, García M, François M, Rico-Villademoros E, González MP, Bascarán MT, Bousoño M y Grupo español de trabajo para el estudio del trastorno por estrés postraumático. Evaluación de las propiedades psicométricas de la versión española de cinco cuestionarios para la evaluación del trastorno de estrés postraumático. Actas Esp Psiquiatr 2000; 28(4): 207-18.</w:t>
      </w:r>
    </w:p>
    <w:p w14:paraId="78B61348" w14:textId="77777777" w:rsidR="00831B8F" w:rsidRPr="00831B8F" w:rsidRDefault="005675C1" w:rsidP="00831B8F">
      <w:pPr>
        <w:pStyle w:val="ListParagraph"/>
        <w:numPr>
          <w:ilvl w:val="0"/>
          <w:numId w:val="1"/>
        </w:numPr>
        <w:rPr>
          <w:rFonts w:ascii="Times New Roman" w:eastAsia="Times New Roman" w:hAnsi="Times New Roman" w:cs="Times New Roman"/>
          <w:lang w:val="en-US"/>
        </w:rPr>
      </w:pPr>
      <w:r w:rsidRPr="005675C1">
        <w:rPr>
          <w:rFonts w:ascii="Arial" w:eastAsia="Times New Roman" w:hAnsi="Arial" w:cs="Arial"/>
          <w:color w:val="666666"/>
          <w:sz w:val="17"/>
          <w:szCs w:val="17"/>
          <w:shd w:val="clear" w:color="auto" w:fill="FFFFFF"/>
        </w:rPr>
        <w:t xml:space="preserve">Bobes J, G-Portilla MP, Bascarán MT, Sáiz PA, Bousoño M. En Banco de instrumentos básicos para la práctica de la psiquiatría clínica. </w:t>
      </w:r>
      <w:r w:rsidRPr="00831B8F">
        <w:rPr>
          <w:rFonts w:ascii="Arial" w:eastAsia="Times New Roman" w:hAnsi="Arial" w:cs="Arial"/>
          <w:color w:val="666666"/>
          <w:sz w:val="17"/>
          <w:szCs w:val="17"/>
          <w:shd w:val="clear" w:color="auto" w:fill="FFFFFF"/>
          <w:lang w:val="en-US"/>
        </w:rPr>
        <w:t>2ª edición. Psiquiatría Editores. Barcelona 2002.</w:t>
      </w:r>
    </w:p>
    <w:p w14:paraId="59ADB128" w14:textId="2AC3D16E" w:rsidR="00831B8F" w:rsidRPr="00831B8F" w:rsidRDefault="00831B8F" w:rsidP="00831B8F">
      <w:pPr>
        <w:pStyle w:val="ListParagraph"/>
        <w:numPr>
          <w:ilvl w:val="0"/>
          <w:numId w:val="1"/>
        </w:numPr>
        <w:rPr>
          <w:rFonts w:ascii="Times New Roman" w:eastAsia="Times New Roman" w:hAnsi="Times New Roman" w:cs="Times New Roman"/>
          <w:lang w:val="en-US"/>
        </w:rPr>
      </w:pPr>
      <w:r>
        <w:rPr>
          <w:rFonts w:ascii="Arial" w:eastAsia="Times New Roman" w:hAnsi="Arial" w:cs="Arial"/>
          <w:b/>
          <w:bCs/>
          <w:color w:val="000000"/>
          <w:kern w:val="36"/>
          <w:sz w:val="34"/>
          <w:szCs w:val="34"/>
          <w:lang w:val="en-US"/>
        </w:rPr>
        <w:t xml:space="preserve">Vera-Villarroel. </w:t>
      </w:r>
      <w:r w:rsidRPr="00831B8F">
        <w:rPr>
          <w:rFonts w:ascii="Arial" w:eastAsia="Times New Roman" w:hAnsi="Arial" w:cs="Arial"/>
          <w:b/>
          <w:bCs/>
          <w:color w:val="000000"/>
          <w:kern w:val="36"/>
          <w:sz w:val="34"/>
          <w:szCs w:val="34"/>
          <w:lang w:val="en-US"/>
        </w:rPr>
        <w:t>Chilean validation of the Posttraumatic Stress Disorder Checklist-Civilian version (PCL-C) after the earthquake on February 27, 2010.</w:t>
      </w:r>
    </w:p>
    <w:sectPr w:rsidR="00831B8F" w:rsidRPr="00831B8F" w:rsidSect="000D2812">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30AE3"/>
    <w:multiLevelType w:val="hybridMultilevel"/>
    <w:tmpl w:val="5AD2A7EE"/>
    <w:lvl w:ilvl="0" w:tplc="9B188DB8">
      <w:start w:val="1"/>
      <w:numFmt w:val="decimal"/>
      <w:lvlText w:val="%1."/>
      <w:lvlJc w:val="left"/>
      <w:pPr>
        <w:ind w:left="720" w:hanging="360"/>
      </w:pPr>
      <w:rPr>
        <w:rFonts w:asciiTheme="minorHAnsi" w:hAnsiTheme="minorHAnsi" w:cstheme="minorBidi"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E3"/>
    <w:rsid w:val="00067D84"/>
    <w:rsid w:val="000B1211"/>
    <w:rsid w:val="000D2812"/>
    <w:rsid w:val="000F77C6"/>
    <w:rsid w:val="00103525"/>
    <w:rsid w:val="00160F75"/>
    <w:rsid w:val="0017024F"/>
    <w:rsid w:val="001B794C"/>
    <w:rsid w:val="001C55BB"/>
    <w:rsid w:val="001C5952"/>
    <w:rsid w:val="0024380C"/>
    <w:rsid w:val="00251BE3"/>
    <w:rsid w:val="00251C1F"/>
    <w:rsid w:val="002E0CD1"/>
    <w:rsid w:val="00347DAD"/>
    <w:rsid w:val="00386811"/>
    <w:rsid w:val="003D1E20"/>
    <w:rsid w:val="004150E1"/>
    <w:rsid w:val="004202EF"/>
    <w:rsid w:val="00467557"/>
    <w:rsid w:val="00475E73"/>
    <w:rsid w:val="004A55B4"/>
    <w:rsid w:val="00542211"/>
    <w:rsid w:val="005675C1"/>
    <w:rsid w:val="00575A39"/>
    <w:rsid w:val="005A3397"/>
    <w:rsid w:val="005B138F"/>
    <w:rsid w:val="005E186B"/>
    <w:rsid w:val="005F7291"/>
    <w:rsid w:val="00667D0C"/>
    <w:rsid w:val="0067460E"/>
    <w:rsid w:val="00676CA6"/>
    <w:rsid w:val="00767AE4"/>
    <w:rsid w:val="00831B8F"/>
    <w:rsid w:val="00897BC3"/>
    <w:rsid w:val="009C1DFB"/>
    <w:rsid w:val="00A16F67"/>
    <w:rsid w:val="00A861FF"/>
    <w:rsid w:val="00AD24AD"/>
    <w:rsid w:val="00BE0699"/>
    <w:rsid w:val="00BE4EF4"/>
    <w:rsid w:val="00C16539"/>
    <w:rsid w:val="00D31D86"/>
    <w:rsid w:val="00D45A31"/>
    <w:rsid w:val="00D61D50"/>
    <w:rsid w:val="00E352E2"/>
    <w:rsid w:val="00EF5128"/>
    <w:rsid w:val="00F948EB"/>
    <w:rsid w:val="00FA74AA"/>
    <w:rsid w:val="00FB5A63"/>
    <w:rsid w:val="00FF1FDE"/>
    <w:rsid w:val="00FF287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1DD47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1E20"/>
    <w:rPr>
      <w:rFonts w:ascii="Times New Roman" w:hAnsi="Times New Roman" w:cs="Times New Roman"/>
      <w:lang w:eastAsia="es-ES_tradnl"/>
    </w:rPr>
  </w:style>
  <w:style w:type="paragraph" w:styleId="Heading1">
    <w:name w:val="heading 1"/>
    <w:basedOn w:val="Normal"/>
    <w:link w:val="Heading1Char"/>
    <w:uiPriority w:val="9"/>
    <w:qFormat/>
    <w:rsid w:val="00831B8F"/>
    <w:pPr>
      <w:spacing w:before="100" w:beforeAutospacing="1" w:after="100" w:afterAutospacing="1"/>
      <w:outlineLvl w:val="0"/>
    </w:pPr>
    <w:rPr>
      <w:rFonts w:eastAsia="Times New Roman"/>
      <w:b/>
      <w:bCs/>
      <w:kern w:val="36"/>
      <w:sz w:val="48"/>
      <w:szCs w:val="48"/>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DE"/>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FF1FDE"/>
    <w:rPr>
      <w:color w:val="0563C1" w:themeColor="hyperlink"/>
      <w:u w:val="single"/>
    </w:rPr>
  </w:style>
  <w:style w:type="character" w:styleId="FollowedHyperlink">
    <w:name w:val="FollowedHyperlink"/>
    <w:basedOn w:val="DefaultParagraphFont"/>
    <w:uiPriority w:val="99"/>
    <w:semiHidden/>
    <w:unhideWhenUsed/>
    <w:rsid w:val="0067460E"/>
    <w:rPr>
      <w:color w:val="954F72" w:themeColor="followedHyperlink"/>
      <w:u w:val="single"/>
    </w:rPr>
  </w:style>
  <w:style w:type="character" w:customStyle="1" w:styleId="f1000-at-ignore">
    <w:name w:val="f1000-at-ignore"/>
    <w:basedOn w:val="DefaultParagraphFont"/>
    <w:rsid w:val="0024380C"/>
  </w:style>
  <w:style w:type="character" w:customStyle="1" w:styleId="Heading1Char">
    <w:name w:val="Heading 1 Char"/>
    <w:basedOn w:val="DefaultParagraphFont"/>
    <w:link w:val="Heading1"/>
    <w:uiPriority w:val="9"/>
    <w:rsid w:val="00831B8F"/>
    <w:rPr>
      <w:rFonts w:ascii="Times New Roman" w:eastAsia="Times New Roman" w:hAnsi="Times New Roman" w:cs="Times New Roman"/>
      <w:b/>
      <w:bCs/>
      <w:kern w:val="36"/>
      <w:sz w:val="48"/>
      <w:szCs w:val="48"/>
      <w:lang w:val="es-C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8452">
      <w:bodyDiv w:val="1"/>
      <w:marLeft w:val="0"/>
      <w:marRight w:val="0"/>
      <w:marTop w:val="0"/>
      <w:marBottom w:val="0"/>
      <w:divBdr>
        <w:top w:val="none" w:sz="0" w:space="0" w:color="auto"/>
        <w:left w:val="none" w:sz="0" w:space="0" w:color="auto"/>
        <w:bottom w:val="none" w:sz="0" w:space="0" w:color="auto"/>
        <w:right w:val="none" w:sz="0" w:space="0" w:color="auto"/>
      </w:divBdr>
    </w:div>
    <w:div w:id="209849686">
      <w:bodyDiv w:val="1"/>
      <w:marLeft w:val="0"/>
      <w:marRight w:val="0"/>
      <w:marTop w:val="0"/>
      <w:marBottom w:val="0"/>
      <w:divBdr>
        <w:top w:val="none" w:sz="0" w:space="0" w:color="auto"/>
        <w:left w:val="none" w:sz="0" w:space="0" w:color="auto"/>
        <w:bottom w:val="none" w:sz="0" w:space="0" w:color="auto"/>
        <w:right w:val="none" w:sz="0" w:space="0" w:color="auto"/>
      </w:divBdr>
    </w:div>
    <w:div w:id="471679858">
      <w:bodyDiv w:val="1"/>
      <w:marLeft w:val="0"/>
      <w:marRight w:val="0"/>
      <w:marTop w:val="0"/>
      <w:marBottom w:val="0"/>
      <w:divBdr>
        <w:top w:val="none" w:sz="0" w:space="0" w:color="auto"/>
        <w:left w:val="none" w:sz="0" w:space="0" w:color="auto"/>
        <w:bottom w:val="none" w:sz="0" w:space="0" w:color="auto"/>
        <w:right w:val="none" w:sz="0" w:space="0" w:color="auto"/>
      </w:divBdr>
    </w:div>
    <w:div w:id="485171782">
      <w:bodyDiv w:val="1"/>
      <w:marLeft w:val="0"/>
      <w:marRight w:val="0"/>
      <w:marTop w:val="0"/>
      <w:marBottom w:val="0"/>
      <w:divBdr>
        <w:top w:val="none" w:sz="0" w:space="0" w:color="auto"/>
        <w:left w:val="none" w:sz="0" w:space="0" w:color="auto"/>
        <w:bottom w:val="none" w:sz="0" w:space="0" w:color="auto"/>
        <w:right w:val="none" w:sz="0" w:space="0" w:color="auto"/>
      </w:divBdr>
    </w:div>
    <w:div w:id="702441658">
      <w:bodyDiv w:val="1"/>
      <w:marLeft w:val="0"/>
      <w:marRight w:val="0"/>
      <w:marTop w:val="0"/>
      <w:marBottom w:val="0"/>
      <w:divBdr>
        <w:top w:val="none" w:sz="0" w:space="0" w:color="auto"/>
        <w:left w:val="none" w:sz="0" w:space="0" w:color="auto"/>
        <w:bottom w:val="none" w:sz="0" w:space="0" w:color="auto"/>
        <w:right w:val="none" w:sz="0" w:space="0" w:color="auto"/>
      </w:divBdr>
    </w:div>
    <w:div w:id="1144815400">
      <w:bodyDiv w:val="1"/>
      <w:marLeft w:val="0"/>
      <w:marRight w:val="0"/>
      <w:marTop w:val="0"/>
      <w:marBottom w:val="0"/>
      <w:divBdr>
        <w:top w:val="none" w:sz="0" w:space="0" w:color="auto"/>
        <w:left w:val="none" w:sz="0" w:space="0" w:color="auto"/>
        <w:bottom w:val="none" w:sz="0" w:space="0" w:color="auto"/>
        <w:right w:val="none" w:sz="0" w:space="0" w:color="auto"/>
      </w:divBdr>
    </w:div>
    <w:div w:id="1395666046">
      <w:bodyDiv w:val="1"/>
      <w:marLeft w:val="0"/>
      <w:marRight w:val="0"/>
      <w:marTop w:val="0"/>
      <w:marBottom w:val="0"/>
      <w:divBdr>
        <w:top w:val="none" w:sz="0" w:space="0" w:color="auto"/>
        <w:left w:val="none" w:sz="0" w:space="0" w:color="auto"/>
        <w:bottom w:val="none" w:sz="0" w:space="0" w:color="auto"/>
        <w:right w:val="none" w:sz="0" w:space="0" w:color="auto"/>
      </w:divBdr>
    </w:div>
    <w:div w:id="1703817862">
      <w:bodyDiv w:val="1"/>
      <w:marLeft w:val="0"/>
      <w:marRight w:val="0"/>
      <w:marTop w:val="0"/>
      <w:marBottom w:val="0"/>
      <w:divBdr>
        <w:top w:val="none" w:sz="0" w:space="0" w:color="auto"/>
        <w:left w:val="none" w:sz="0" w:space="0" w:color="auto"/>
        <w:bottom w:val="none" w:sz="0" w:space="0" w:color="auto"/>
        <w:right w:val="none" w:sz="0" w:space="0" w:color="auto"/>
      </w:divBdr>
    </w:div>
    <w:div w:id="1865047543">
      <w:bodyDiv w:val="1"/>
      <w:marLeft w:val="0"/>
      <w:marRight w:val="0"/>
      <w:marTop w:val="0"/>
      <w:marBottom w:val="0"/>
      <w:divBdr>
        <w:top w:val="none" w:sz="0" w:space="0" w:color="auto"/>
        <w:left w:val="none" w:sz="0" w:space="0" w:color="auto"/>
        <w:bottom w:val="none" w:sz="0" w:space="0" w:color="auto"/>
        <w:right w:val="none" w:sz="0" w:space="0" w:color="auto"/>
      </w:divBdr>
    </w:div>
    <w:div w:id="1887519568">
      <w:bodyDiv w:val="1"/>
      <w:marLeft w:val="0"/>
      <w:marRight w:val="0"/>
      <w:marTop w:val="0"/>
      <w:marBottom w:val="0"/>
      <w:divBdr>
        <w:top w:val="none" w:sz="0" w:space="0" w:color="auto"/>
        <w:left w:val="none" w:sz="0" w:space="0" w:color="auto"/>
        <w:bottom w:val="none" w:sz="0" w:space="0" w:color="auto"/>
        <w:right w:val="none" w:sz="0" w:space="0" w:color="auto"/>
      </w:divBdr>
    </w:div>
    <w:div w:id="1971354342">
      <w:bodyDiv w:val="1"/>
      <w:marLeft w:val="0"/>
      <w:marRight w:val="0"/>
      <w:marTop w:val="0"/>
      <w:marBottom w:val="0"/>
      <w:divBdr>
        <w:top w:val="none" w:sz="0" w:space="0" w:color="auto"/>
        <w:left w:val="none" w:sz="0" w:space="0" w:color="auto"/>
        <w:bottom w:val="none" w:sz="0" w:space="0" w:color="auto"/>
        <w:right w:val="none" w:sz="0" w:space="0" w:color="auto"/>
      </w:divBdr>
    </w:div>
    <w:div w:id="2088378515">
      <w:bodyDiv w:val="1"/>
      <w:marLeft w:val="0"/>
      <w:marRight w:val="0"/>
      <w:marTop w:val="0"/>
      <w:marBottom w:val="0"/>
      <w:divBdr>
        <w:top w:val="none" w:sz="0" w:space="0" w:color="auto"/>
        <w:left w:val="none" w:sz="0" w:space="0" w:color="auto"/>
        <w:bottom w:val="none" w:sz="0" w:space="0" w:color="auto"/>
        <w:right w:val="none" w:sz="0" w:space="0" w:color="auto"/>
      </w:divBdr>
    </w:div>
    <w:div w:id="2120560673">
      <w:bodyDiv w:val="1"/>
      <w:marLeft w:val="0"/>
      <w:marRight w:val="0"/>
      <w:marTop w:val="0"/>
      <w:marBottom w:val="0"/>
      <w:divBdr>
        <w:top w:val="none" w:sz="0" w:space="0" w:color="auto"/>
        <w:left w:val="none" w:sz="0" w:space="0" w:color="auto"/>
        <w:bottom w:val="none" w:sz="0" w:space="0" w:color="auto"/>
        <w:right w:val="none" w:sz="0" w:space="0" w:color="auto"/>
      </w:divBdr>
    </w:div>
    <w:div w:id="2122143806">
      <w:bodyDiv w:val="1"/>
      <w:marLeft w:val="0"/>
      <w:marRight w:val="0"/>
      <w:marTop w:val="0"/>
      <w:marBottom w:val="0"/>
      <w:divBdr>
        <w:top w:val="none" w:sz="0" w:space="0" w:color="auto"/>
        <w:left w:val="none" w:sz="0" w:space="0" w:color="auto"/>
        <w:bottom w:val="none" w:sz="0" w:space="0" w:color="auto"/>
        <w:right w:val="none" w:sz="0" w:space="0" w:color="auto"/>
      </w:divBdr>
    </w:div>
    <w:div w:id="2134596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trauma.org/flash/media-e/triageToolkit.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3319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Figueroa Cabello</dc:creator>
  <cp:keywords/>
  <dc:description/>
  <cp:lastModifiedBy>Microsoft Office User</cp:lastModifiedBy>
  <cp:revision>2</cp:revision>
  <dcterms:created xsi:type="dcterms:W3CDTF">2018-04-13T15:21:00Z</dcterms:created>
  <dcterms:modified xsi:type="dcterms:W3CDTF">2018-04-13T15:21:00Z</dcterms:modified>
</cp:coreProperties>
</file>