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764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9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. Funcionamiento de la celda de carga</w:t>
      </w:r>
    </w:p>
    <w:p w14:paraId="4300C172">
      <w:pPr>
        <w:keepNext w:val="0"/>
        <w:keepLines w:val="0"/>
        <w:widowControl/>
        <w:suppressLineNumbers w:val="0"/>
        <w:jc w:val="left"/>
      </w:pPr>
    </w:p>
    <w:p w14:paraId="634DE3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019675" cy="2828925"/>
            <wp:effectExtent l="0" t="0" r="9525" b="9525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221942">
      <w:pPr>
        <w:keepNext w:val="0"/>
        <w:keepLines w:val="0"/>
        <w:widowControl/>
        <w:suppressLineNumbers w:val="0"/>
        <w:jc w:val="left"/>
      </w:pPr>
    </w:p>
    <w:p w14:paraId="5BDABF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30" w:lineRule="atLeast"/>
        <w:ind w:left="0" w:firstLine="70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El funcionamiento de las celdas se da debido a que un extremo se mantiene fijo mientras que el otro extremo va a estar expuesto a la fuerza, el material se deforma acorde a la cantidad de fuerza aplicada y esta genera una señal eléctrica. internamente la celda consta de una resistencia variable la que incrementa o disminuye de manera proporcional acorde a la presión ejercida.</w:t>
      </w:r>
    </w:p>
    <w:p w14:paraId="1F5333FB">
      <w:pPr>
        <w:keepNext w:val="0"/>
        <w:keepLines w:val="0"/>
        <w:widowControl/>
        <w:suppressLineNumbers w:val="0"/>
        <w:jc w:val="left"/>
      </w:pPr>
    </w:p>
    <w:p w14:paraId="177BBD2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Figura 10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. Estructura interna de una celda de carga</w:t>
      </w:r>
    </w:p>
    <w:p w14:paraId="337927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038600" cy="2514600"/>
            <wp:effectExtent l="0" t="0" r="0" b="0"/>
            <wp:docPr id="2" name="Imagen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4AD9D">
      <w:pPr>
        <w:keepNext w:val="0"/>
        <w:keepLines w:val="0"/>
        <w:widowControl/>
        <w:suppressLineNumbers w:val="0"/>
        <w:jc w:val="left"/>
      </w:pPr>
    </w:p>
    <w:p w14:paraId="6BC6333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81FFC"/>
    <w:rsid w:val="5018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2026-01-14T21:40:00Z</dcterms:created>
  <dc:creator>sebas</dc:creator>
  <cp:lastModifiedBy>sebas</cp:lastModifiedBy>
  <dcterms:modified xsi:type="dcterms:W3CDTF">2026-01-14T21:40:20Z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3082-12.2.0.23197</vt:lpwstr>
  </property>
  <property fmtid="{D5CDD505-2E9C-101B-9397-08002B2CF9AE}" pid="3" name="ICV">
    <vt:lpwstr>9C0235AC67564EF2B89BAA222987AA7B_11</vt:lpwstr>
  </property>
</Properties>
</file>