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H1 - Pharma continuous solvent removal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The parent market for this product idea is pharmaceutical continuous-manufacturing equipment, estimated at ~$2.7B in 2025 and growing at ~10-11% CAGR toward ~$4.6B by 2030; the broader pharma drying-equipment market is ~$5.8B (2024) heading to ~$8.2B (2029). The solvent-removal slice is a niche within these: organic-solvent granulation and coating have been a minority of oral-solid-dose processes since aqueous systems largely displaced them in the 1990s, and persist mainly for moisture-sensitive APIs, functional/enteric coatings, effervescents and contained HPAPI work. Order of magnitude for the addressable niche (continuous-capable, solvent-rated drying/coating equipment): ~$0.3-0.8B globally.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~$1.0B (largest continuous-manufacturing region in 2025, Western Europe; dense GEA/Glatt/Bohle/Syntegon install base)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~$0.7B (fastest-growing region; India/China OSD capacity)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~$0.9B (US-led; strong CM adoption push by FDA)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~&lt;$0.1B (minimal pharma solids manufacturing)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Buyers are solid-dose manufacturers that run or want solvent-based wet granulation/coating continuously: a subset of the ~7,100 FDA-registered drug-product manufacturing sites (~4,000+ companies, 79 countries) plus the ~400-750 solid-dose-capable CDMOs. The realistic solvent-process subset is a minority of these, concentrated among large pharma, larger CDMOs and mid-size generics in the US, EU and India. Reach is hard: capital equipment sold through long (12-36 month) pharma procurement cycles, validation burden, conservative process-engineering buyers, and sales require application-lab proof per formulation.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~100-200 companies (top-50 pharma + large CDMOs like Lonza/Catalent/Thermo Patheon class)</w:t>
            </w:r>
          </w:p>
        </w:tc>
        <w:tc>
          <w:tcPr>
            <w:tcW w:w="1422" w:type="dxa"/>
            <w:vAlign w:val="center"/>
          </w:tcPr>
          <w:p>
            <w:r>
              <w:t>~70% of relevant equipment spend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~500-1,000 companies (mid-size generics, regional CDMOs, specialty pharma)</w:t>
            </w:r>
          </w:p>
        </w:tc>
        <w:tc>
          <w:tcPr>
            <w:tcW w:w="1422" w:type="dxa"/>
            <w:vAlign w:val="center"/>
          </w:tcPr>
          <w:p>
            <w:r>
              <w:t>~20-25%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~1,000-3,000 companies (small generics, nutraceutical; only a minority run solvent processes)</w:t>
            </w:r>
          </w:p>
        </w:tc>
        <w:tc>
          <w:tcPr>
            <w:tcW w:w="1422" w:type="dxa"/>
            <w:vAlign w:val="center"/>
          </w:tcPr>
          <w:p>
            <w:r>
              <w:t>~5-10%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Roughly 10-15 credible equipment OEMs serve pharma continuous solids processing; no single dominant vendor but GEA and Glatt are the reference leaders for continuous granulation/drying lines, with Syntegon, L.B. Bohle, Romaco, ACG and Fette covering most remaining share. Nobody today sells a continuous microwave-based solvent-removal module for pharma; microwave-vacuum drying exists only in batch single-pot processors (GEA UltimaPro, Bohle VMA) and in non-pharma industrial MW dryers.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(GEA, Glatt, Syntegon, Romaco, ACG, Fette Compacting)</w:t>
            </w:r>
          </w:p>
        </w:tc>
        <w:tc>
          <w:tcPr>
            <w:tcW w:w="1734" w:type="dxa"/>
            <w:vAlign w:val="center"/>
          </w:tcPr>
          <w:p>
            <w:r>
              <w:t>Integrated continuous lines (GEA ConsiGma, Glatt MODCOS) with twin-screw granulation + segmented fluid-bed drying + coating; single-pot processors; batch fluid beds and drum coaters</w:t>
            </w:r>
          </w:p>
        </w:tc>
        <w:tc>
          <w:tcPr>
            <w:tcW w:w="1472" w:type="dxa"/>
            <w:vAlign w:val="center"/>
          </w:tcPr>
          <w:p>
            <w:r>
              <w:t>~60-70% combined of pharma continuous solids equipment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(L.B. Bohle, Freund-Vector, O'Hara, Driam, Diosna, IMA, Coperion K-Tron)</w:t>
            </w:r>
          </w:p>
        </w:tc>
        <w:tc>
          <w:tcPr>
            <w:tcW w:w="1734" w:type="dxa"/>
            <w:vAlign w:val="center"/>
          </w:tcPr>
          <w:p>
            <w:r>
              <w:t>Continuous granulation/drying modules (QbCon), continuous coaters (Driaconti), lab/pilot lines, feeders</w:t>
            </w:r>
          </w:p>
        </w:tc>
        <w:tc>
          <w:tcPr>
            <w:tcW w:w="1472" w:type="dxa"/>
            <w:vAlign w:val="center"/>
          </w:tcPr>
          <w:p>
            <w:r>
              <w:t>~20-30%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 (Pueschner, SAIREM, Kerone, Microdry + Chinese/Indian OEMs)</w:t>
            </w:r>
          </w:p>
        </w:tc>
        <w:tc>
          <w:tcPr>
            <w:tcW w:w="1734" w:type="dxa"/>
            <w:vAlign w:val="center"/>
          </w:tcPr>
          <w:p>
            <w:r>
              <w:t>Industrial microwave drying systems (non-pharma focus), low-cost batch dryers and coaters</w:t>
            </w:r>
          </w:p>
        </w:tc>
        <w:tc>
          <w:tcPr>
            <w:tcW w:w="1472" w:type="dxa"/>
            <w:vAlign w:val="center"/>
          </w:tcPr>
          <w:p>
            <w:r>
              <w:t>~10%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ICH Q13 Continuous Manufacturing</w:t>
            </w:r>
          </w:p>
        </w:tc>
        <w:tc>
          <w:tcPr>
            <w:tcW w:w="1380" w:type="dxa"/>
            <w:vAlign w:val="center"/>
          </w:tcPr>
          <w:p>
            <w:r>
              <w:t>Global (ICH regions incl. FDA, EMA, PMDA)</w:t>
            </w:r>
          </w:p>
        </w:tc>
        <w:tc>
          <w:tcPr>
            <w:tcW w:w="3314" w:type="dxa"/>
            <w:vAlign w:val="center"/>
          </w:tcPr>
          <w:p>
            <w:r>
              <w:t>Regulatory pathway for CM now harmonized since Nov 2022 - supports our pitch that regulators accept continuous solvent-removal unit operations; enables batch-to-continuous conversion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GMP / FDA cGMP (21 CFR 210/211) + 21 CFR Part 11 / Annex 11</w:t>
            </w:r>
          </w:p>
        </w:tc>
        <w:tc>
          <w:tcPr>
            <w:tcW w:w="1380" w:type="dxa"/>
            <w:vAlign w:val="center"/>
          </w:tcPr>
          <w:p>
            <w:r>
              <w:t>EU / US</w:t>
            </w:r>
          </w:p>
        </w:tc>
        <w:tc>
          <w:tcPr>
            <w:tcW w:w="3314" w:type="dxa"/>
            <w:vAlign w:val="center"/>
          </w:tcPr>
          <w:p>
            <w:r>
              <w:t>Equipment must be GMP-cleanable, validatable, with compliant data systems - raises development cost but also barriers protecting incumbents; we must design for PAT and cleaning validation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ATEX Directive 2014/34/EU (+NEC/NFPA in US)</w:t>
            </w:r>
          </w:p>
        </w:tc>
        <w:tc>
          <w:tcPr>
            <w:tcW w:w="1380" w:type="dxa"/>
            <w:vAlign w:val="center"/>
          </w:tcPr>
          <w:p>
            <w:r>
              <w:t>EU / US</w:t>
            </w:r>
          </w:p>
        </w:tc>
        <w:tc>
          <w:tcPr>
            <w:tcW w:w="3314" w:type="dxa"/>
            <w:vAlign w:val="center"/>
          </w:tcPr>
          <w:p>
            <w:r>
              <w:t>Organic-solvent vapours require explosion-rated equipment, inerting (N2) and LEL monitoring; a microwave applicator inside a solvent atmosphere is a real engineering and certification challenge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ICH Q3C Residual Solvents</w:t>
            </w:r>
          </w:p>
        </w:tc>
        <w:tc>
          <w:tcPr>
            <w:tcW w:w="1380" w:type="dxa"/>
            <w:vAlign w:val="center"/>
          </w:tcPr>
          <w:p>
            <w:r>
              <w:t>Global</w:t>
            </w:r>
          </w:p>
        </w:tc>
        <w:tc>
          <w:tcPr>
            <w:tcW w:w="3314" w:type="dxa"/>
            <w:vAlign w:val="center"/>
          </w:tcPr>
          <w:p>
            <w:r>
              <w:t>Defines acceptable solvent levels in drug product; drying endpoint must be demonstrably controlled - argues for in-line moisture PAT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Industrial Emissions / VOC rules + solvent recovery expectation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Solvent vapour cannot be vented; condensation/recovery loop required - actually favors closed MW-vacuum systems over high-airflow convective dryers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Machinery Directive 2006/42/EC, CE marking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Standard machine safety; microwave leakage limits (~5 mW/cm2) must be engineered into a continuous open-ended applicator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