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FE3AF" w14:textId="23E619E7" w:rsidR="00A26BD9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>Step 2</w:t>
      </w:r>
      <w:proofErr w:type="gramStart"/>
      <w:r>
        <w:rPr>
          <w:rFonts w:cs="Aptos"/>
          <w:b/>
          <w:bCs/>
          <w:color w:val="EAB900"/>
          <w:sz w:val="22"/>
          <w:szCs w:val="22"/>
        </w:rPr>
        <w:t xml:space="preserve">a  </w:t>
      </w:r>
      <w:r w:rsidR="00A944F3">
        <w:rPr>
          <w:rFonts w:cs="Aptos"/>
          <w:b/>
          <w:bCs/>
          <w:color w:val="EAB900"/>
          <w:sz w:val="22"/>
          <w:szCs w:val="22"/>
        </w:rPr>
        <w:t>-</w:t>
      </w:r>
      <w:proofErr w:type="gramEnd"/>
      <w:r>
        <w:rPr>
          <w:rFonts w:cs="Aptos"/>
          <w:b/>
          <w:bCs/>
          <w:color w:val="EAB900"/>
          <w:sz w:val="22"/>
          <w:szCs w:val="22"/>
        </w:rPr>
        <w:t xml:space="preserve">  H10 - Higher capacity mineral drying</w:t>
      </w:r>
    </w:p>
    <w:p w14:paraId="5BBE768F" w14:textId="77777777" w:rsidR="00A26BD9" w:rsidRPr="00374BD6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Market scan</w:t>
      </w:r>
    </w:p>
    <w:p w14:paraId="34D72F74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Market size</w:t>
      </w:r>
    </w:p>
    <w:p w14:paraId="3AD932B4" w14:textId="0033F9AF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Same underlying pool as H9: mineral drying equipment+services is order-of-magnitude ~$1-3B/yr globally inside a ~$5-10B industrial dryer market, with minerals/ores ~24% of rotary dryer demand. The capacity-booster angle targets the installed base rather than new lines: dryers run 20-40 years, replacement/upgrade is a named demand driver in market reports, and OEM aftermarket/service is ~30-40% of dryer-OEM revenue (~). A new large rotary line costs ~$8-15M installed with 12-18-month lead times, so a retrofit that adds ~20-30% throughput for low single-digit $M addresses a real capex-avoidance budget — adjacent precedents exist (microwave boost ovens +25% throughput in food; IR booster sections debottlenecking paper machines; parallel fluid-bed additions at a 48-&gt;100 ktpa magnesium plant).</w:t>
      </w:r>
    </w:p>
    <w:p w14:paraId="397AF537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</w:tblGrid>
      <w:tr w:rsidR="00A26BD9" w14:paraId="3C8BC1A3" w14:textId="77777777">
        <w:trPr>
          <w:cantSplit/>
          <w:trHeight w:val="240"/>
          <w:tblHeader/>
        </w:trPr>
        <w:tc>
          <w:tcPr>
            <w:tcW w:w="1134" w:type="dxa"/>
            <w:shd w:val="clear" w:color="auto" w:fill="F3F4F6"/>
            <w:vAlign w:val="center"/>
          </w:tcPr>
          <w:p w14:paraId="3D1DFFF2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42F0ACE6" w14:textId="0FA52888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2625C00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Region</w:t>
            </w:r>
          </w:p>
        </w:tc>
        <w:tc>
          <w:tcPr>
            <w:tcW w:w="1134" w:type="dxa"/>
            <w:shd w:val="clear" w:color="auto" w:fill="F3F4F6"/>
            <w:vAlign w:val="center"/>
          </w:tcPr>
          <w:p w14:paraId="1145C463" w14:textId="1FF2B160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Size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($B)</w:t>
            </w:r>
          </w:p>
        </w:tc>
      </w:tr>
      <w:tr w:rsidR="00A26BD9" w14:paraId="5405F561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5890627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Europe</w:t>
            </w:r>
          </w:p>
        </w:tc>
        <w:tc>
          <w:tcPr>
            <w:tcW w:w="1134" w:type="dxa"/>
            <w:vAlign w:val="center"/>
          </w:tcPr>
          <w:p>
            <w:r>
              <w:t>~$0.3-0.7B (aging installed base + ETS pressure; retrofit-friendly, capex-constrained mid-size producers)</w:t>
            </w:r>
          </w:p>
        </w:tc>
        <w:tc>
          <w:tcPr>
            <w:tcW w:w="1134" w:type="dxa"/>
            <w:vAlign w:val="center"/>
          </w:tcPr>
          <w:p w14:paraId="59BCC229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Asia</w:t>
            </w:r>
          </w:p>
        </w:tc>
        <w:tc>
          <w:tcPr>
            <w:tcW w:w="1134" w:type="dxa"/>
            <w:vAlign w:val="center"/>
          </w:tcPr>
          <w:p>
            <w:r>
              <w:t>~$1-2B (largest market but dominated by new-build/greenfield; retrofit slice smaller share)</w:t>
            </w:r>
          </w:p>
        </w:tc>
      </w:tr>
      <w:tr w:rsidR="00A26BD9" w14:paraId="2C19B988" w14:textId="77777777">
        <w:trPr>
          <w:cantSplit/>
          <w:trHeight w:val="240"/>
        </w:trPr>
        <w:tc>
          <w:tcPr>
            <w:tcW w:w="1134" w:type="dxa"/>
            <w:vAlign w:val="center"/>
          </w:tcPr>
          <w:p w14:paraId="03A360EF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America</w:t>
            </w:r>
          </w:p>
        </w:tc>
        <w:tc>
          <w:tcPr>
            <w:tcW w:w="1134" w:type="dxa"/>
            <w:vAlign w:val="center"/>
          </w:tcPr>
          <w:p>
            <w:r>
              <w:t>~$0.5-1.2B (large aging fleet; debottlenecking culture strong in NA minerals/mining)</w:t>
            </w:r>
          </w:p>
        </w:tc>
        <w:tc>
          <w:tcPr>
            <w:tcW w:w="1134" w:type="dxa"/>
            <w:vAlign w:val="center"/>
          </w:tcPr>
          <w:p w14:paraId="495F852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sz w:val="15"/>
                <w:szCs w:val="15"/>
              </w:rPr>
              <w:t>Africa</w:t>
            </w:r>
          </w:p>
        </w:tc>
        <w:tc>
          <w:tcPr>
            <w:tcW w:w="1134" w:type="dxa"/>
            <w:vAlign w:val="center"/>
          </w:tcPr>
          <w:p>
            <w:r>
              <w:t>~$0.1-0.3B (mine expansions; often cheaper to overbuild new than retrofit)</w:t>
            </w:r>
          </w:p>
        </w:tc>
      </w:tr>
    </w:tbl>
    <w:p w14:paraId="71EF5186" w14:textId="77777777" w:rsidR="00A26BD9" w:rsidRDefault="00A26BD9">
      <w:pPr>
        <w:rPr>
          <w:rFonts w:cs="Aptos"/>
          <w:sz w:val="8"/>
          <w:szCs w:val="8"/>
        </w:rPr>
      </w:pPr>
    </w:p>
    <w:p w14:paraId="05176796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6CBF5DFE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Operators whose drying step limits line throughput — typically because feed moisture rose (wetter ore, seasonal stockpiles), demand grew, or the dryer aged. Same base as H9: ~750 IMA-member processing plants in Europe, majors like Omya (~160 plants) and Imerys (~100+ sites) centralizing engineering decisions, plus hundreds of ore concentrators running single-line dryers where +10-20% capacity has high marginal value against $8-15M for a parallel line. Reachable through dryer-OEM aftermarket channels, plant engineering managers, and industry consultants; buying trigger is a capacity project already being scoped, so timing windows are episodic but the value case (avoided capex + deferred permitting) is concrete.</w:t>
      </w:r>
    </w:p>
    <w:p w14:paraId="0485BB6F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536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13"/>
        <w:gridCol w:w="1701"/>
        <w:gridCol w:w="1422"/>
      </w:tblGrid>
      <w:tr w:rsidR="00A26BD9" w14:paraId="2D0236BD" w14:textId="77777777" w:rsidTr="00374BD6">
        <w:trPr>
          <w:cantSplit/>
          <w:trHeight w:val="240"/>
          <w:tblHeader/>
        </w:trPr>
        <w:tc>
          <w:tcPr>
            <w:tcW w:w="1413" w:type="dxa"/>
            <w:shd w:val="clear" w:color="auto" w:fill="F3F4F6"/>
            <w:vAlign w:val="center"/>
          </w:tcPr>
          <w:p w14:paraId="19744301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Customer size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C3B4140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Approx. number</w:t>
            </w:r>
          </w:p>
        </w:tc>
        <w:tc>
          <w:tcPr>
            <w:tcW w:w="1422" w:type="dxa"/>
            <w:shd w:val="clear" w:color="auto" w:fill="F3F4F6"/>
            <w:vAlign w:val="center"/>
          </w:tcPr>
          <w:p w14:paraId="2842FD75" w14:textId="18ABECDE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A26BD9" w14:paraId="03BCDF12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48FAC434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Large</w:t>
            </w:r>
          </w:p>
        </w:tc>
        <w:tc>
          <w:tcPr>
            <w:tcW w:w="1701" w:type="dxa"/>
            <w:vAlign w:val="center"/>
          </w:tcPr>
          <w:p>
            <w:r>
              <w:t>~30-50 producer groups worldwide, ~500-800 drying plants (~)</w:t>
            </w:r>
          </w:p>
        </w:tc>
        <w:tc>
          <w:tcPr>
            <w:tcW w:w="1422" w:type="dxa"/>
            <w:vAlign w:val="center"/>
          </w:tcPr>
          <w:p>
            <w:r>
              <w:t>~50-60% of dried mineral tonnage (~)</w:t>
            </w:r>
          </w:p>
        </w:tc>
      </w:tr>
      <w:tr w:rsidR="00A26BD9" w14:paraId="59E14C2E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7FC67633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Medium</w:t>
            </w:r>
          </w:p>
        </w:tc>
        <w:tc>
          <w:tcPr>
            <w:tcW w:w="1701" w:type="dxa"/>
            <w:vAlign w:val="center"/>
          </w:tcPr>
          <w:p>
            <w:r>
              <w:t>~300-500 regional producers, ~1,000-2,000 plants (~)</w:t>
            </w:r>
          </w:p>
        </w:tc>
        <w:tc>
          <w:tcPr>
            <w:tcW w:w="1422" w:type="dxa"/>
            <w:vAlign w:val="center"/>
          </w:tcPr>
          <w:p>
            <w:r>
              <w:t>~30% of tonnage (~)</w:t>
            </w:r>
          </w:p>
        </w:tc>
      </w:tr>
      <w:tr w:rsidR="00A26BD9" w14:paraId="67D34661" w14:textId="77777777" w:rsidTr="00374BD6">
        <w:trPr>
          <w:cantSplit/>
          <w:trHeight w:val="240"/>
        </w:trPr>
        <w:tc>
          <w:tcPr>
            <w:tcW w:w="1413" w:type="dxa"/>
            <w:vAlign w:val="center"/>
          </w:tcPr>
          <w:p w14:paraId="33346B8F" w14:textId="77777777" w:rsidR="00A26BD9" w:rsidRPr="00374BD6" w:rsidRDefault="00000000">
            <w:pPr>
              <w:spacing w:line="252" w:lineRule="auto"/>
              <w:rPr>
                <w:rFonts w:cs="Aptos"/>
                <w:b/>
                <w:bCs/>
                <w:sz w:val="18"/>
                <w:szCs w:val="18"/>
              </w:rPr>
            </w:pPr>
            <w:r w:rsidRPr="00374BD6">
              <w:rPr>
                <w:rFonts w:cs="Aptos"/>
                <w:b/>
                <w:bCs/>
                <w:sz w:val="15"/>
                <w:szCs w:val="15"/>
              </w:rPr>
              <w:t>Small</w:t>
            </w:r>
          </w:p>
        </w:tc>
        <w:tc>
          <w:tcPr>
            <w:tcW w:w="1701" w:type="dxa"/>
            <w:vAlign w:val="center"/>
          </w:tcPr>
          <w:p>
            <w:r>
              <w:t>~1,000-3,000 single-site quarry/processors (~)</w:t>
            </w:r>
          </w:p>
        </w:tc>
        <w:tc>
          <w:tcPr>
            <w:tcW w:w="1422" w:type="dxa"/>
            <w:vAlign w:val="center"/>
          </w:tcPr>
          <w:p>
            <w:r>
              <w:t>~10-15% of tonnage (~)</w:t>
            </w:r>
          </w:p>
        </w:tc>
      </w:tr>
    </w:tbl>
    <w:p w14:paraId="2F3FEF93" w14:textId="77777777" w:rsidR="00A26BD9" w:rsidRDefault="00A26BD9">
      <w:pPr>
        <w:rPr>
          <w:rFonts w:cs="Aptos"/>
          <w:sz w:val="8"/>
          <w:szCs w:val="8"/>
        </w:rPr>
      </w:pPr>
    </w:p>
    <w:p w14:paraId="42D6A94D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Players offering a solution today</w:t>
      </w:r>
    </w:p>
    <w:p w14:paraId="76C37334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  <w:r>
        <w:t>Conventional debottlenecking is served by the incumbent dryer OEMs' aftermarket arms (Metso, FLSmidth, Andritz, ThyssenKrupp, GEA) selling upgrades, heat-recovery retrofits (~18-25% fuel savings reported in EU cement/mineral retrofits) and parallel units, plus mid-tier OEMs doing add-on dryers. Booster/inline technology is a niche: microwave boost ovens proven in food (Ferrite/IMS MIP-9, +25% throughput), IR booster sections proven in paper/board (Ircon Solaronics), but no established microwave-booster player for bulk minerals — whitespace similar to H9.</w:t>
      </w:r>
    </w:p>
    <w:p w14:paraId="43279371" w14:textId="77777777" w:rsidR="00A26BD9" w:rsidRDefault="00A26BD9">
      <w:pPr>
        <w:spacing w:line="276" w:lineRule="auto"/>
        <w:rPr>
          <w:rFonts w:cs="Aptos"/>
          <w:sz w:val="20"/>
          <w:szCs w:val="20"/>
        </w:rPr>
      </w:pPr>
    </w:p>
    <w:tbl>
      <w:tblPr>
        <w:tblW w:w="4673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467"/>
        <w:gridCol w:w="1734"/>
        <w:gridCol w:w="1472"/>
      </w:tblGrid>
      <w:tr w:rsidR="00A26BD9" w14:paraId="6905B136" w14:textId="77777777" w:rsidTr="00374BD6">
        <w:trPr>
          <w:cantSplit/>
          <w:trHeight w:val="240"/>
          <w:tblHeader/>
        </w:trPr>
        <w:tc>
          <w:tcPr>
            <w:tcW w:w="1467" w:type="dxa"/>
            <w:shd w:val="clear" w:color="auto" w:fill="F3F4F6"/>
            <w:vAlign w:val="center"/>
          </w:tcPr>
          <w:p w14:paraId="60503223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Player</w:t>
            </w:r>
          </w:p>
        </w:tc>
        <w:tc>
          <w:tcPr>
            <w:tcW w:w="1734" w:type="dxa"/>
            <w:shd w:val="clear" w:color="auto" w:fill="F3F4F6"/>
            <w:vAlign w:val="center"/>
          </w:tcPr>
          <w:p w14:paraId="7FA04B9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Type of solution</w:t>
            </w:r>
          </w:p>
        </w:tc>
        <w:tc>
          <w:tcPr>
            <w:tcW w:w="1472" w:type="dxa"/>
            <w:shd w:val="clear" w:color="auto" w:fill="F3F4F6"/>
            <w:vAlign w:val="center"/>
          </w:tcPr>
          <w:p w14:paraId="4381E39C" w14:textId="0140A43D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Market share</w:t>
            </w:r>
            <w:r w:rsidR="00374BD6">
              <w:rPr>
                <w:rFonts w:cs="Aptos"/>
                <w:b/>
                <w:bCs/>
                <w:color w:val="374151"/>
                <w:sz w:val="15"/>
                <w:szCs w:val="15"/>
              </w:rPr>
              <w:t xml:space="preserve"> (in %)</w:t>
            </w:r>
          </w:p>
        </w:tc>
      </w:tr>
      <w:tr w:rsidR="00374BD6" w14:paraId="47C2922C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Large OEM aftermarket (Metso, FLSmidth, Andritz, ThyssenKrupp, GEA)</w:t>
            </w:r>
          </w:p>
        </w:tc>
        <w:tc>
          <w:tcPr>
            <w:tcW w:w="1734" w:type="dxa"/>
            <w:vAlign w:val="center"/>
          </w:tcPr>
          <w:p>
            <w:r>
              <w:t>dryer upgrades, indirect-heat &amp; heat-recovery retrofits, parallel lines, service contracts</w:t>
            </w:r>
          </w:p>
        </w:tc>
        <w:tc>
          <w:tcPr>
            <w:tcW w:w="1472" w:type="dxa"/>
            <w:vAlign w:val="center"/>
          </w:tcPr>
          <w:p>
            <w:r>
              <w:t>~35-50% of new dryer revenue; aftermarket ~30-40% of OEM sales (~)</w:t>
            </w:r>
          </w:p>
        </w:tc>
      </w:tr>
      <w:tr w:rsidR="00374BD6" w14:paraId="7A7D589E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Medium (Allgaier, Comessa, Schenck, Carrier Vibrating, FEECO, Schwing Bioset, Hazemag, Louisville)</w:t>
            </w:r>
          </w:p>
        </w:tc>
        <w:tc>
          <w:tcPr>
            <w:tcW w:w="1734" w:type="dxa"/>
            <w:vAlign w:val="center"/>
          </w:tcPr>
          <w:p>
            <w:r>
              <w:t>add-on rotary/FBD dryers, refurbishment, regional debottlenecking projects</w:t>
            </w:r>
          </w:p>
        </w:tc>
        <w:tc>
          <w:tcPr>
            <w:tcW w:w="1472" w:type="dxa"/>
            <w:vAlign w:val="center"/>
          </w:tcPr>
          <w:p>
            <w:r>
              <w:t>~30-40% (~)</w:t>
            </w:r>
          </w:p>
        </w:tc>
      </w:tr>
      <w:tr w:rsidR="00374BD6" w14:paraId="3C96A5E1" w14:textId="77777777" w:rsidTr="00374BD6">
        <w:trPr>
          <w:cantSplit/>
          <w:trHeight w:val="240"/>
        </w:trPr>
        <w:tc>
          <w:tcPr>
            <w:tcW w:w="1467" w:type="dxa"/>
            <w:vAlign w:val="center"/>
          </w:tcPr>
          <w:p>
            <w:r>
              <w:t>Small booster/dielectric niche (Ferrite/IMS, SAIREM, Pueschner, Cellencor; IR specialists e.g. Ircon Solaronics)</w:t>
            </w:r>
          </w:p>
        </w:tc>
        <w:tc>
          <w:tcPr>
            <w:tcW w:w="1734" w:type="dxa"/>
            <w:vAlign w:val="center"/>
          </w:tcPr>
          <w:p>
            <w:r>
              <w:t>microwave/IR booster and pre-dryer modules 6-300 kW; proven +25-30% throughput in food/paper, mineral refs scarce</w:t>
            </w:r>
          </w:p>
        </w:tc>
        <w:tc>
          <w:tcPr>
            <w:tcW w:w="1472" w:type="dxa"/>
            <w:vAlign w:val="center"/>
          </w:tcPr>
          <w:p>
            <w:r>
              <w:t>&lt;5-10% today, emerging (~)</w:t>
            </w:r>
          </w:p>
        </w:tc>
      </w:tr>
    </w:tbl>
    <w:p w14:paraId="7A667490" w14:textId="77777777" w:rsidR="00A26BD9" w:rsidRDefault="00A26BD9">
      <w:pPr>
        <w:rPr>
          <w:rFonts w:cs="Aptos"/>
          <w:sz w:val="8"/>
          <w:szCs w:val="8"/>
        </w:rPr>
      </w:pPr>
    </w:p>
    <w:p w14:paraId="4792B19F" w14:textId="77777777" w:rsidR="00A26BD9" w:rsidRDefault="00000000">
      <w:pPr>
        <w:keepNext/>
        <w:spacing w:before="11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Regulation</w:t>
      </w:r>
    </w:p>
    <w:tbl>
      <w:tblPr>
        <w:tblW w:w="6350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CellMar>
          <w:top w:w="20" w:type="dxa"/>
          <w:left w:w="80" w:type="dxa"/>
          <w:bottom w:w="20" w:type="dxa"/>
          <w:right w:w="80" w:type="dxa"/>
        </w:tblCellMar>
        <w:tblLook w:val="04A0" w:firstRow="1" w:lastRow="0" w:firstColumn="1" w:lastColumn="0" w:noHBand="0" w:noVBand="1"/>
      </w:tblPr>
      <w:tblGrid>
        <w:gridCol w:w="1656"/>
        <w:gridCol w:w="1380"/>
        <w:gridCol w:w="3314"/>
      </w:tblGrid>
      <w:tr w:rsidR="00A26BD9" w14:paraId="66DDEBB9" w14:textId="77777777">
        <w:trPr>
          <w:cantSplit/>
          <w:trHeight w:val="240"/>
          <w:tblHeader/>
        </w:trPr>
        <w:tc>
          <w:tcPr>
            <w:tcW w:w="1656" w:type="dxa"/>
            <w:shd w:val="clear" w:color="auto" w:fill="F3F4F6"/>
            <w:vAlign w:val="center"/>
          </w:tcPr>
          <w:p w14:paraId="5FD78D6A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Regulation</w:t>
            </w:r>
          </w:p>
        </w:tc>
        <w:tc>
          <w:tcPr>
            <w:tcW w:w="1380" w:type="dxa"/>
            <w:shd w:val="clear" w:color="auto" w:fill="F3F4F6"/>
            <w:vAlign w:val="center"/>
          </w:tcPr>
          <w:p w14:paraId="6B58F8CB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Jurisdiction</w:t>
            </w:r>
          </w:p>
        </w:tc>
        <w:tc>
          <w:tcPr>
            <w:tcW w:w="3314" w:type="dxa"/>
            <w:shd w:val="clear" w:color="auto" w:fill="F3F4F6"/>
            <w:vAlign w:val="center"/>
          </w:tcPr>
          <w:p w14:paraId="4F4D630E" w14:textId="77777777" w:rsidR="00A26BD9" w:rsidRDefault="00000000">
            <w:pPr>
              <w:spacing w:line="252" w:lineRule="auto"/>
              <w:rPr>
                <w:rFonts w:cs="Aptos"/>
                <w:sz w:val="18"/>
                <w:szCs w:val="18"/>
              </w:rPr>
            </w:pPr>
            <w:r>
              <w:rPr>
                <w:rFonts w:cs="Aptos"/>
                <w:b/>
                <w:bCs/>
                <w:color w:val="374151"/>
                <w:sz w:val="15"/>
                <w:szCs w:val="15"/>
              </w:rPr>
              <w:t>What it means for us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EU ETS (Directive 2003/87/EC)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Debottlenecking by adding gas-fired capacity increases ETS exposure (~EUR60-90/tCO2); an electric booster adds throughput with zero on-site combustion.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MCPD 2015/2193 / IED permit review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Uprating burners or adding combustion capacity can trigger permit modification and tighter emission limits; an electric booster avoids reopening combustion permitting.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US EPA NSPS/NESHAP air permitting</w:t>
            </w:r>
          </w:p>
        </w:tc>
        <w:tc>
          <w:tcPr>
            <w:tcW w:w="1380" w:type="dxa"/>
            <w:vAlign w:val="center"/>
          </w:tcPr>
          <w:p>
            <w:r>
              <w:t>US</w:t>
            </w:r>
          </w:p>
        </w:tc>
        <w:tc>
          <w:tcPr>
            <w:tcW w:w="3314" w:type="dxa"/>
            <w:vAlign w:val="center"/>
          </w:tcPr>
          <w:p>
            <w:r>
              <w:t>Increased firing rates on existing dryers can trigger New Source Review/BACT analysis; non-combustion boosters sidestep it.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Energy Efficiency Directive (EU) 2023/1791</w:t>
            </w:r>
          </w:p>
        </w:tc>
        <w:tc>
          <w:tcPr>
            <w:tcW w:w="1380" w:type="dxa"/>
            <w:vAlign w:val="center"/>
          </w:tcPr>
          <w:p>
            <w:r>
              <w:t>EU</w:t>
            </w:r>
          </w:p>
        </w:tc>
        <w:tc>
          <w:tcPr>
            <w:tcW w:w="3314" w:type="dxa"/>
            <w:vAlign w:val="center"/>
          </w:tcPr>
          <w:p>
            <w:r>
              <w:t>Mandatory energy audits push operators to exploit low-capex efficiency/capacity measures — a booster that raises output per GJ is a natural audit action.</w:t>
            </w:r>
          </w:p>
        </w:tc>
      </w:tr>
      <w:tr w:rsidR="00A26BD9" w14:paraId="6FD2D50A" w14:textId="77777777">
        <w:trPr>
          <w:cantSplit/>
          <w:trHeight w:val="240"/>
        </w:trPr>
        <w:tc>
          <w:tcPr>
            <w:tcW w:w="1656" w:type="dxa"/>
            <w:vAlign w:val="center"/>
          </w:tcPr>
          <w:p>
            <w:r>
              <w:t>National decarbonization funding (DE EEW, EU Innovation Fund, US IRA 48C/DOE)</w:t>
            </w:r>
          </w:p>
        </w:tc>
        <w:tc>
          <w:tcPr>
            <w:tcW w:w="1380" w:type="dxa"/>
            <w:vAlign w:val="center"/>
          </w:tcPr>
          <w:p>
            <w:r>
              <w:t>EU, DE, US</w:t>
            </w:r>
          </w:p>
        </w:tc>
        <w:tc>
          <w:tcPr>
            <w:tcW w:w="3314" w:type="dxa"/>
            <w:vAlign w:val="center"/>
          </w:tcPr>
          <w:p>
            <w:r>
              <w:t>Retrofit projects combining capacity gain with electrification qualify for process-heat decarbonization subsidies, improving booster economics.</w:t>
            </w:r>
          </w:p>
        </w:tc>
      </w:tr>
    </w:tbl>
    <w:p w14:paraId="0643D740" w14:textId="77777777" w:rsidR="00A26BD9" w:rsidRDefault="00A26BD9">
      <w:pPr>
        <w:rPr>
          <w:rFonts w:cs="Aptos"/>
          <w:sz w:val="8"/>
          <w:szCs w:val="8"/>
        </w:rPr>
      </w:pPr>
    </w:p>
    <w:p w14:paraId="73A5540A" w14:textId="77777777" w:rsidR="00A26BD9" w:rsidRDefault="00A26BD9">
      <w:pPr>
        <w:keepNext/>
        <w:spacing w:before="11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26BD9" w14:paraId="1DA81FDE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289600C4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26BD9" w14:paraId="1172A095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5DB581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AEEACB0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663F079F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B14566D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644559B" w14:textId="77777777" w:rsidR="00A26BD9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6951C7C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E2C6984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75873E4E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606E2FCB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042053F1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8E6F1" w14:textId="77777777" w:rsidR="00A26BD9" w:rsidRDefault="00A26BD9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26BD9" w14:paraId="77C06467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6740F45A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1EB1C8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392852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3B330B9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74161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3C6131CD" w14:textId="77777777" w:rsidR="00A26BD9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531762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2AD8C8F1" w14:textId="77777777" w:rsidR="00A26BD9" w:rsidRDefault="00A26BD9">
      <w:pPr>
        <w:spacing w:line="264" w:lineRule="auto"/>
        <w:rPr>
          <w:rFonts w:cs="Aptos"/>
          <w:sz w:val="4"/>
          <w:szCs w:val="4"/>
        </w:rPr>
      </w:pPr>
    </w:p>
    <w:sectPr w:rsidR="00A26BD9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099B2" w14:textId="77777777" w:rsidR="00DB50FB" w:rsidRDefault="00DB50FB" w:rsidP="001564B6">
      <w:r>
        <w:separator/>
      </w:r>
    </w:p>
  </w:endnote>
  <w:endnote w:type="continuationSeparator" w:id="0">
    <w:p w14:paraId="2206A2B6" w14:textId="77777777" w:rsidR="00DB50FB" w:rsidRDefault="00DB50FB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94429" w14:textId="77777777" w:rsidR="00A26BD9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C876" w14:textId="77777777" w:rsidR="00DB50FB" w:rsidRDefault="00DB50FB" w:rsidP="001564B6">
      <w:r>
        <w:separator/>
      </w:r>
    </w:p>
  </w:footnote>
  <w:footnote w:type="continuationSeparator" w:id="0">
    <w:p w14:paraId="10E2785C" w14:textId="77777777" w:rsidR="00DB50FB" w:rsidRDefault="00DB50FB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34BD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15D83"/>
    <w:multiLevelType w:val="singleLevel"/>
    <w:tmpl w:val="617E9A14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9792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343D98"/>
    <w:rsid w:val="00367B1F"/>
    <w:rsid w:val="00374BD6"/>
    <w:rsid w:val="004719E8"/>
    <w:rsid w:val="005C40D2"/>
    <w:rsid w:val="005D0A9D"/>
    <w:rsid w:val="006B3658"/>
    <w:rsid w:val="00700C67"/>
    <w:rsid w:val="00A26BD9"/>
    <w:rsid w:val="00A944F3"/>
    <w:rsid w:val="00AE5410"/>
    <w:rsid w:val="00B7003B"/>
    <w:rsid w:val="00C70919"/>
    <w:rsid w:val="00DB50FB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B54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2A1948-8255-46B4-84EF-DDCF3695AD5C}"/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202610_2a Market Scan Template </Template>
  <TotalTime>0</TotalTime>
  <Pages>1</Pages>
  <Words>263</Words>
  <Characters>1252</Characters>
  <Application>Microsoft Office Word</Application>
  <DocSecurity>0</DocSecurity>
  <Lines>54</Lines>
  <Paragraphs>38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