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H2 - Pharma R&amp;D faster drying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Relevant instrument markets: lab heating/drying ovens ~$2.1B (2023, ~6% CAGR), benchtop drying ovens ~$0.6B (2023), lab vacuum drying ovens ~$0.2B (2024), and lab-scale freeze dryers ~$0.15-1.2B depending on scope definition. The specific niche for a pharma-focused fast benchtop drying instrument is a few hundred $M globally - pharma applications account for ~30-40% of lab drying instrument revenue. Demand is underpinned by ~$288B global pharma R&amp;D spend (2024), where drying is a routine bottleneck in formulation and process-development work.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~$0.3-0.6B (strong instrument tradition: Binder, Memmert, Glatt, Christ; dense pharma R&amp;D in DE/CH/UK/FR)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~$0.3-0.5B (fastest-growing; India/China formulation labs expanding)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~$0.4-0.8B (largest single region ~38-40%; US pharma R&amp;D concentration)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~&lt;$0.05B (small academic/generic R&amp;D base)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Buyers are pharma/biotech formulation and process-development labs, CDMO/CRO development labs, and academic pharmaceutical-technology groups. Order of magnitude: several thousand relevant labs worldwide - a subset of ~2,300 CDMO-tracked companies (~3,600 facilities) and ~4,000+ pharma manufacturers, plus universities. Purchasing is instrument-level (~$20-80k), decided at lab/department level, reachable through lab-equipment distributors - far easier access than capital equipment, though fragmented across many small accounts.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~200-500 lab networks (big-pharma R&amp;D campuses, top CDMO development sites)</w:t>
            </w:r>
          </w:p>
        </w:tc>
        <w:tc>
          <w:tcPr>
            <w:tcW w:w="1422" w:type="dxa"/>
            <w:vAlign w:val="center"/>
          </w:tcPr>
          <w:p>
            <w:r>
              <w:t>~50-60% of spend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~1,000-2,000 labs (mid-size pharma, CROs, generics development)</w:t>
            </w:r>
          </w:p>
        </w:tc>
        <w:tc>
          <w:tcPr>
            <w:tcW w:w="1422" w:type="dxa"/>
            <w:vAlign w:val="center"/>
          </w:tcPr>
          <w:p>
            <w:r>
              <w:t>~25-35%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~2,000-5,000 labs (biotech startups, university pharm-tech groups, nutraceutical R&amp;D)</w:t>
            </w:r>
          </w:p>
        </w:tc>
        <w:tc>
          <w:tcPr>
            <w:tcW w:w="1422" w:type="dxa"/>
            <w:vAlign w:val="center"/>
          </w:tcPr>
          <w:p>
            <w:r>
              <w:t>~10-15%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Highly fragmented: dozens of vendors sell lab ovens/vacuum ovens (Binder, Memmert, Thermo Fisher, Yamato), lab fluid-bed dryers (Glatt Mini/Midi-Glatt, Caleva, Diosna, Freund-Vector), and freeze dryers (Labconco, SP Industries, Martin Christ). No established pharma-grade brand owns 'fast R&amp;D drying': existing benchtop microwave-vacuum units are niche industrial/food-oriented products (EnWave REV10, Kerone, Pueschner lab units, low-cost Chinese OEMs) without GxP documentation, PAT or solvent-safety focus.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(Thermo Fisher, Binder, Memmert, Labconco/SP Industries, Glatt, Sartorius)</w:t>
            </w:r>
          </w:p>
        </w:tc>
        <w:tc>
          <w:tcPr>
            <w:tcW w:w="1734" w:type="dxa"/>
            <w:vAlign w:val="center"/>
          </w:tcPr>
          <w:p>
            <w:r>
              <w:t>Lab convection/vacuum ovens, freeze dryers, lab fluid-bed dryers, moisture analyzers</w:t>
            </w:r>
          </w:p>
        </w:tc>
        <w:tc>
          <w:tcPr>
            <w:tcW w:w="1472" w:type="dxa"/>
            <w:vAlign w:val="center"/>
          </w:tcPr>
          <w:p>
            <w:r>
              <w:t>~40-50% combined of lab drying instruments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(Yamato, Caleva, Diosna, Martin Christ, Buchi, BMT, Sheldon)</w:t>
            </w:r>
          </w:p>
        </w:tc>
        <w:tc>
          <w:tcPr>
            <w:tcW w:w="1734" w:type="dxa"/>
            <w:vAlign w:val="center"/>
          </w:tcPr>
          <w:p>
            <w:r>
              <w:t>Specialty lab dryers, granulation/drying pilots, lyophilizers</w:t>
            </w:r>
          </w:p>
        </w:tc>
        <w:tc>
          <w:tcPr>
            <w:tcW w:w="1472" w:type="dxa"/>
            <w:vAlign w:val="center"/>
          </w:tcPr>
          <w:p>
            <w:r>
              <w:t>~30%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 (EnWave, Kerone, Pueschner, MakeWave and Chinese OEMs via ConductScience/pharma machinery resellers)</w:t>
            </w:r>
          </w:p>
        </w:tc>
        <w:tc>
          <w:tcPr>
            <w:tcW w:w="1734" w:type="dxa"/>
            <w:vAlign w:val="center"/>
          </w:tcPr>
          <w:p>
            <w:r>
              <w:t>Benchtop microwave-vacuum dryers, mostly food/industrial-grade</w:t>
            </w:r>
          </w:p>
        </w:tc>
        <w:tc>
          <w:tcPr>
            <w:tcW w:w="1472" w:type="dxa"/>
            <w:vAlign w:val="center"/>
          </w:tcPr>
          <w:p>
            <w:r>
              <w:t>~10-20%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IEC 61010 (lab equipment safety) + CE/UL marking</w:t>
            </w:r>
          </w:p>
        </w:tc>
        <w:tc>
          <w:tcPr>
            <w:tcW w:w="1380" w:type="dxa"/>
            <w:vAlign w:val="center"/>
          </w:tcPr>
          <w:p>
            <w:r>
              <w:t>Global / EU / US</w:t>
            </w:r>
          </w:p>
        </w:tc>
        <w:tc>
          <w:tcPr>
            <w:tcW w:w="3314" w:type="dxa"/>
            <w:vAlign w:val="center"/>
          </w:tcPr>
          <w:p>
            <w:r>
              <w:t>Baseline electrical safety certification for a benchtop instrument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Microwave leakage limits (~5 mW/cm2; IEC 60519-6 / national rules)</w:t>
            </w:r>
          </w:p>
        </w:tc>
        <w:tc>
          <w:tcPr>
            <w:tcW w:w="1380" w:type="dxa"/>
            <w:vAlign w:val="center"/>
          </w:tcPr>
          <w:p>
            <w:r>
              <w:t>Global</w:t>
            </w:r>
          </w:p>
        </w:tc>
        <w:tc>
          <w:tcPr>
            <w:tcW w:w="3314" w:type="dxa"/>
            <w:vAlign w:val="center"/>
          </w:tcPr>
          <w:p>
            <w:r>
              <w:t>Shielded cavity with interlocks - standard engineering but must be validated for a product marketed to pharma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ATEX 2014/34/EU / IECEx or sealed-solvent design</w:t>
            </w:r>
          </w:p>
        </w:tc>
        <w:tc>
          <w:tcPr>
            <w:tcW w:w="1380" w:type="dxa"/>
            <w:vAlign w:val="center"/>
          </w:tcPr>
          <w:p>
            <w:r>
              <w:t>EU / international</w:t>
            </w:r>
          </w:p>
        </w:tc>
        <w:tc>
          <w:tcPr>
            <w:tcW w:w="3314" w:type="dxa"/>
            <w:vAlign w:val="center"/>
          </w:tcPr>
          <w:p>
            <w:r>
              <w:t>Flammable solvent vapours (ethanol, IPA, acetone) inside a microwave cavity need inerting, solvent-rated vacuum path and interlocks - the key certification cost for a solvent-capable unit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21 CFR Part 11 / EU GMP Annex 11 (if used in GMP labs)</w:t>
            </w:r>
          </w:p>
        </w:tc>
        <w:tc>
          <w:tcPr>
            <w:tcW w:w="1380" w:type="dxa"/>
            <w:vAlign w:val="center"/>
          </w:tcPr>
          <w:p>
            <w:r>
              <w:t>US / EU</w:t>
            </w:r>
          </w:p>
        </w:tc>
        <w:tc>
          <w:tcPr>
            <w:tcW w:w="3314" w:type="dxa"/>
            <w:vAlign w:val="center"/>
          </w:tcPr>
          <w:p>
            <w:r>
              <w:t>Recipe control, audit trails, user management needed to sell into QC/GMP-adjacent labs rather than only research groups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ICH Q3C residual solvents</w:t>
            </w:r>
          </w:p>
        </w:tc>
        <w:tc>
          <w:tcPr>
            <w:tcW w:w="1380" w:type="dxa"/>
            <w:vAlign w:val="center"/>
          </w:tcPr>
          <w:p>
            <w:r>
              <w:t>Global</w:t>
            </w:r>
          </w:p>
        </w:tc>
        <w:tc>
          <w:tcPr>
            <w:tcW w:w="3314" w:type="dxa"/>
            <w:vAlign w:val="center"/>
          </w:tcPr>
          <w:p>
            <w:r>
              <w:t>Frames why labs dry solvent-wet samples; instrument should support residual-solvent workflows and data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