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H4 - Microwave manufacturer design simulation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buyer pool is the industrial microwave heating equipment industry itself: ~$1.4-1.6B/yr equipment sales (2025) carried by a few dozen established OEMs plus a long tail of regional/tunnel-machine builders. The comparable software market — electromagnetic simulation software overall — is ~$1.5-2.9B/yr growing 10-18%/yr, but the microwave-heating slice of that is tiny (order ~$30-80M/yr), because today it is served as a byproduct of general EM tools. A purpose-built applicator/cavity design tool addresses this niche plus the currently unmonetized 'in-house code + trial-and-error' segment.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~$0.4-0.5B (densest OEM cluster: Germany/France/Italy/UK; European leaders ~35-40% of global microwave-dryer share)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~$0.5-0.6B (largest regional equipment market ~35%; many mid/low-tier machine builders in China/Japan/India)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~$0.4-0.5B (~25-30%; US specialists + component/generator vendors)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~$0.05-0.15B (incl. Middle East; small OEM presence, mostly import market)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A concentrated, easy-to-map customer set: roughly 15-25 established industrial microwave OEMs (Muegge, Püschner, Sairem, Linn High Therm, Industrial Microwave Systems, Ferrite/Microwave Techniques, AMTek, Thermex, Cellencor, plus generator/component vendors like Richardson, CPI, e2v, Hitachi, Toshiba), ~30-80 mid-size specialists, and a long tail of ~100-300 smaller/regional tunnel-equipment builders concentrated in Asia. They are reachable through a handful of channels (AMPERE, IMPI conferences, trade fairs), and each has an engineering department that already understands the problem — the best-defined customer group of the three hypotheses, but also the smallest.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~10-20 OEMs</w:t>
            </w:r>
          </w:p>
        </w:tc>
        <w:tc>
          <w:tcPr>
            <w:tcW w:w="1422" w:type="dxa"/>
            <w:vAlign w:val="center"/>
          </w:tcPr>
          <w:p>
            <w:r>
              <w:t>~55-70% of equipment revenue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~30-80 specialist OEMs</w:t>
            </w:r>
          </w:p>
        </w:tc>
        <w:tc>
          <w:tcPr>
            <w:tcW w:w="1422" w:type="dxa"/>
            <w:vAlign w:val="center"/>
          </w:tcPr>
          <w:p>
            <w:r>
              <w:t>~25-30%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~100-300 small/regional builders</w:t>
            </w:r>
          </w:p>
        </w:tc>
        <w:tc>
          <w:tcPr>
            <w:tcW w:w="1422" w:type="dxa"/>
            <w:vAlign w:val="center"/>
          </w:tcPr>
          <w:p>
            <w:r>
              <w:t>~5-15%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design-simulation market is dominated by general-purpose EM suites: Ansys HFSS, Dassault CST Studio Suite, Altair FEKO, COMSOL Multiphysics+RF together take ~70-80% of EM-simulation spend (top-5 CAE vendors hold ~2/3 of the ~$10B CAE market). These tools were built for telecom/electronics, so microwave-heating workflows (temperature-dependent dielectrics, moving loads, thermal runaway, calorimetric power balance) must be rebuilt by each OEM's engineers. Only one small vendor (QWED, Poland, QuickWave) sells heating-dedicated modules; the rest of the niche is in-house codes, consultancies and academia — the market is effectively one strong incumbent category plus one proven niche precedent.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(Ansys/Synopsys HFSS, Dassault SIMULIA CST, Altair FEKO/HyperWorks, COMSOL RF, Keysight)</w:t>
            </w:r>
          </w:p>
        </w:tc>
        <w:tc>
          <w:tcPr>
            <w:tcW w:w="1734" w:type="dxa"/>
            <w:vAlign w:val="center"/>
          </w:tcPr>
          <w:p>
            <w:r>
              <w:t>general 3D EM solvers with optional thermal coupling; pricing ~$10k (COMSOL) to ~$50k+ (HFSS) per seat</w:t>
            </w:r>
          </w:p>
        </w:tc>
        <w:tc>
          <w:tcPr>
            <w:tcW w:w="1472" w:type="dxa"/>
            <w:vAlign w:val="center"/>
          </w:tcPr>
          <w:p>
            <w:r>
              <w:t>~70-80% of EM-sim spend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(QWED QuickWave, Remcom XFdtd, IMST Empire)</w:t>
            </w:r>
          </w:p>
        </w:tc>
        <w:tc>
          <w:tcPr>
            <w:tcW w:w="1734" w:type="dxa"/>
            <w:vAlign w:val="center"/>
          </w:tcPr>
          <w:p>
            <w:r>
              <w:t>specialist FDTD tools; only QuickWave offers a dedicated microwave-heating module</w:t>
            </w:r>
          </w:p>
        </w:tc>
        <w:tc>
          <w:tcPr>
            <w:tcW w:w="1472" w:type="dxa"/>
            <w:vAlign w:val="center"/>
          </w:tcPr>
          <w:p>
            <w:r>
              <w:t>~10-15%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(open-source openEMS/MEEP, in-house OEM codes, MW design consultancies, university groups)</w:t>
            </w:r>
          </w:p>
        </w:tc>
        <w:tc>
          <w:tcPr>
            <w:tcW w:w="1734" w:type="dxa"/>
            <w:vAlign w:val="center"/>
          </w:tcPr>
          <w:p>
            <w:r>
              <w:t>free/expert tools and bespoke simulation services filling gaps the suites leave</w:t>
            </w:r>
          </w:p>
        </w:tc>
        <w:tc>
          <w:tcPr>
            <w:tcW w:w="1472" w:type="dxa"/>
            <w:vAlign w:val="center"/>
          </w:tcPr>
          <w:p>
            <w:r>
              <w:t>~10-15%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IEC/EN 60519-6</w:t>
            </w:r>
          </w:p>
        </w:tc>
        <w:tc>
          <w:tcPr>
            <w:tcW w:w="1380" w:type="dxa"/>
            <w:vAlign w:val="center"/>
          </w:tcPr>
          <w:p>
            <w:r>
              <w:t>International/EU</w:t>
            </w:r>
          </w:p>
        </w:tc>
        <w:tc>
          <w:tcPr>
            <w:tcW w:w="3314" w:type="dxa"/>
            <w:vAlign w:val="center"/>
          </w:tcPr>
          <w:p>
            <w:r>
              <w:t>Safety requirements for industrial microwave heating installations (leakage, interlocks, emission limits 800 MHz-6 GHz ISM); design-stage simulation of leakage and hot spots directly supports conformity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CISPR 11 / EN 55011 (Group 2 ISM equipment)</w:t>
            </w:r>
          </w:p>
        </w:tc>
        <w:tc>
          <w:tcPr>
            <w:tcW w:w="1380" w:type="dxa"/>
            <w:vAlign w:val="center"/>
          </w:tcPr>
          <w:p>
            <w:r>
              <w:t>International/EU</w:t>
            </w:r>
          </w:p>
        </w:tc>
        <w:tc>
          <w:tcPr>
            <w:tcW w:w="3314" w:type="dxa"/>
            <w:vAlign w:val="center"/>
          </w:tcPr>
          <w:p>
            <w:r>
              <w:t>RF emission limits for ISM equipment; applicator/cavity design determines compliance, so simulation that predicts emissions shortens certification cycles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ITU Radio Regulations ISM bands</w:t>
            </w:r>
          </w:p>
        </w:tc>
        <w:tc>
          <w:tcPr>
            <w:tcW w:w="1380" w:type="dxa"/>
            <w:vAlign w:val="center"/>
          </w:tcPr>
          <w:p>
            <w:r>
              <w:t>Global, region-dependent</w:t>
            </w:r>
          </w:p>
        </w:tc>
        <w:tc>
          <w:tcPr>
            <w:tcW w:w="3314" w:type="dxa"/>
            <w:vAlign w:val="center"/>
          </w:tcPr>
          <w:p>
            <w:r>
              <w:t>Equipment must operate inside ISM allocations (915 MHz mainly Americas, 2.45/5.8 GHz worldwide, plus national variants like 896 MHz UK/922 MHz JP); multi-band-aware design tools cover export markets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Directive 2013/35/EU (worker EMF exposure)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Minimum worker EMF-exposure requirements influence applicator shielding/feeder design — a simulation output OEMs must document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FCC Part 18</w:t>
            </w:r>
          </w:p>
        </w:tc>
        <w:tc>
          <w:tcPr>
            <w:tcW w:w="1380" w:type="dxa"/>
            <w:vAlign w:val="center"/>
          </w:tcPr>
          <w:p>
            <w:r>
              <w:t>USA</w:t>
            </w:r>
          </w:p>
        </w:tc>
        <w:tc>
          <w:tcPr>
            <w:tcW w:w="3314" w:type="dxa"/>
            <w:vAlign w:val="center"/>
          </w:tcPr>
          <w:p>
            <w:r>
              <w:t>US rules for ISM equipment emissions; required for machines exported to the largest single market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