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E3AF" w14:textId="23E619E7" w:rsidR="00A26BD9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>Step 2</w:t>
      </w:r>
      <w:proofErr w:type="gramStart"/>
      <w:r>
        <w:rPr>
          <w:rFonts w:cs="Aptos"/>
          <w:b/>
          <w:bCs/>
          <w:color w:val="EAB900"/>
          <w:sz w:val="22"/>
          <w:szCs w:val="22"/>
        </w:rPr>
        <w:t xml:space="preserve">a  </w:t>
      </w:r>
      <w:r w:rsidR="00A944F3">
        <w:rPr>
          <w:rFonts w:cs="Aptos"/>
          <w:b/>
          <w:bCs/>
          <w:color w:val="EAB900"/>
          <w:sz w:val="22"/>
          <w:szCs w:val="22"/>
        </w:rPr>
        <w:t>-</w:t>
      </w:r>
      <w:proofErr w:type="gramEnd"/>
      <w:r>
        <w:rPr>
          <w:rFonts w:cs="Aptos"/>
          <w:b/>
          <w:bCs/>
          <w:color w:val="EAB900"/>
          <w:sz w:val="22"/>
          <w:szCs w:val="22"/>
        </w:rPr>
        <w:t xml:space="preserve">  H5 - Microwave access simulation</w:t>
      </w:r>
    </w:p>
    <w:p w14:paraId="5BBE768F" w14:textId="77777777" w:rsidR="00A26BD9" w:rsidRPr="00374BD6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Market scan</w:t>
      </w:r>
    </w:p>
    <w:p w14:paraId="34D72F74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Market size</w:t>
      </w:r>
    </w:p>
    <w:p w14:paraId="3AD932B4" w14:textId="0033F9AF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The addressable pool is much wider than microwave OEMs: all industrial thermal-equipment manufacturers who could add microwave/RF modules to dryers, kilns, ovens and process lines. Adjacent markets are large — industrial dryers ~$5-8B/yr, industrial drying ovens ~$3B/yr — versus only ~$1.4-1.6B/yr currently captured by dedicated microwave equipment, which quantifies the headroom for microwave integration. The simulation/software slice an 'access' product could initially capture is small (~$20-100M/yr) but the mechanism is catalytic: lowering the barrier to entry expands the microwave market itself. Macro tailwind: process-heat electrification/decarbonization programs (US DOE Industrial Heat Shot, EU projects) explicitly name microwave systems.</w:t>
      </w:r>
    </w:p>
    <w:p w14:paraId="397AF537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A26BD9" w14:paraId="3C8BC1A3" w14:textId="77777777">
        <w:trPr>
          <w:cantSplit/>
          <w:trHeight w:val="240"/>
          <w:tblHeader/>
        </w:trPr>
        <w:tc>
          <w:tcPr>
            <w:tcW w:w="1134" w:type="dxa"/>
            <w:shd w:val="clear" w:color="auto" w:fill="F3F4F6"/>
            <w:vAlign w:val="center"/>
          </w:tcPr>
          <w:p w14:paraId="3D1DFFF2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42F0ACE6" w14:textId="0FA52888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2625C00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1145C463" w14:textId="1FF2B160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</w:tr>
      <w:tr w:rsidR="00A26BD9" w14:paraId="5405F561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5890627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Europe</w:t>
            </w:r>
          </w:p>
        </w:tc>
        <w:tc>
          <w:tcPr>
            <w:tcW w:w="1134" w:type="dxa"/>
            <w:vAlign w:val="center"/>
          </w:tcPr>
          <w:p>
            <w:r>
              <w:t>~$1.5-3B adjacent thermal-equipment market (dryers+ovens subset); strong OEM density in DE/IT/FR</w:t>
            </w:r>
          </w:p>
        </w:tc>
        <w:tc>
          <w:tcPr>
            <w:tcW w:w="1134" w:type="dxa"/>
            <w:vAlign w:val="center"/>
          </w:tcPr>
          <w:p w14:paraId="59BCC229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Asia</w:t>
            </w:r>
          </w:p>
        </w:tc>
        <w:tc>
          <w:tcPr>
            <w:tcW w:w="1134" w:type="dxa"/>
            <w:vAlign w:val="center"/>
          </w:tcPr>
          <w:p>
            <w:r>
              <w:t>~$3-4B adjacent market (~40%+ of dryer demand; largest OEM pool, mostly mid-tier)</w:t>
            </w:r>
          </w:p>
        </w:tc>
      </w:tr>
      <w:tr w:rsidR="00A26BD9" w14:paraId="2C19B988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03A360E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America</w:t>
            </w:r>
          </w:p>
        </w:tc>
        <w:tc>
          <w:tcPr>
            <w:tcW w:w="1134" w:type="dxa"/>
            <w:vAlign w:val="center"/>
          </w:tcPr>
          <w:p>
            <w:r>
              <w:t>~$1.5-2.5B adjacent market</w:t>
            </w:r>
          </w:p>
        </w:tc>
        <w:tc>
          <w:tcPr>
            <w:tcW w:w="1134" w:type="dxa"/>
            <w:vAlign w:val="center"/>
          </w:tcPr>
          <w:p w14:paraId="495F852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Africa</w:t>
            </w:r>
          </w:p>
        </w:tc>
        <w:tc>
          <w:tcPr>
            <w:tcW w:w="1134" w:type="dxa"/>
            <w:vAlign w:val="center"/>
          </w:tcPr>
          <w:p>
            <w:r>
              <w:t>~$0.3-0.6B (incl. Middle East; mostly importers/integrators)</w:t>
            </w:r>
          </w:p>
        </w:tc>
      </w:tr>
    </w:tbl>
    <w:p w14:paraId="71EF5186" w14:textId="77777777" w:rsidR="00A26BD9" w:rsidRDefault="00A26BD9">
      <w:pPr>
        <w:rPr>
          <w:rFonts w:cs="Aptos"/>
          <w:sz w:val="8"/>
          <w:szCs w:val="8"/>
        </w:rPr>
      </w:pPr>
    </w:p>
    <w:p w14:paraId="05176796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6CBF5DFE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Thousands of industrial equipment OEMs and system integrators (drying, thermal processing, food/pharma/chemical machinery) have no in-house RF/microwave competence. The motivated subset — those facing electrification pressure or customer pull for faster/volumetric heating — is realistically ~300-1,000 companies globally. They are reachable via general process-equipment channels and OEM-component suppliers, but each sale requires substantial education: the CalNEXT market study identifies 'knowledge and awareness' alongside cost and process-integration as the primary adoption barriers. A tool alone will not convert this segment; tool + application engineering service will.</w:t>
      </w:r>
    </w:p>
    <w:p w14:paraId="0485BB6F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422"/>
      </w:tblGrid>
      <w:tr w:rsidR="00A26BD9" w14:paraId="2D0236BD" w14:textId="77777777" w:rsidTr="00374BD6">
        <w:trPr>
          <w:cantSplit/>
          <w:trHeight w:val="240"/>
          <w:tblHeader/>
        </w:trPr>
        <w:tc>
          <w:tcPr>
            <w:tcW w:w="1413" w:type="dxa"/>
            <w:shd w:val="clear" w:color="auto" w:fill="F3F4F6"/>
            <w:vAlign w:val="center"/>
          </w:tcPr>
          <w:p w14:paraId="19744301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Customer size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1C3B4140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Approx. number</w:t>
            </w:r>
          </w:p>
        </w:tc>
        <w:tc>
          <w:tcPr>
            <w:tcW w:w="1422" w:type="dxa"/>
            <w:shd w:val="clear" w:color="auto" w:fill="F3F4F6"/>
            <w:vAlign w:val="center"/>
          </w:tcPr>
          <w:p w14:paraId="2842FD75" w14:textId="18ABECDE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A26BD9" w14:paraId="03BCDF12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48FAC434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Large</w:t>
            </w:r>
          </w:p>
        </w:tc>
        <w:tc>
          <w:tcPr>
            <w:tcW w:w="1701" w:type="dxa"/>
            <w:vAlign w:val="center"/>
          </w:tcPr>
          <w:p>
            <w:r>
              <w:t>~100-300 large equipment OEMs</w:t>
            </w:r>
          </w:p>
        </w:tc>
        <w:tc>
          <w:tcPr>
            <w:tcW w:w="1422" w:type="dxa"/>
            <w:vAlign w:val="center"/>
          </w:tcPr>
          <w:p>
            <w:r>
              <w:t>~45-55% of adjacent equipment revenue</w:t>
            </w:r>
          </w:p>
        </w:tc>
      </w:tr>
      <w:tr w:rsidR="00A26BD9" w14:paraId="59E14C2E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7FC67633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701" w:type="dxa"/>
            <w:vAlign w:val="center"/>
          </w:tcPr>
          <w:p>
            <w:r>
              <w:t>~1,000-3,000 mid-size machine builders</w:t>
            </w:r>
          </w:p>
        </w:tc>
        <w:tc>
          <w:tcPr>
            <w:tcW w:w="1422" w:type="dxa"/>
            <w:vAlign w:val="center"/>
          </w:tcPr>
          <w:p>
            <w:r>
              <w:t>~30-40%</w:t>
            </w:r>
          </w:p>
        </w:tc>
      </w:tr>
      <w:tr w:rsidR="00A26BD9" w14:paraId="67D34661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33346B8F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Small</w:t>
            </w:r>
          </w:p>
        </w:tc>
        <w:tc>
          <w:tcPr>
            <w:tcW w:w="1701" w:type="dxa"/>
            <w:vAlign w:val="center"/>
          </w:tcPr>
          <w:p>
            <w:r>
              <w:t>~5,000-15,000 small builders/integrators</w:t>
            </w:r>
          </w:p>
        </w:tc>
        <w:tc>
          <w:tcPr>
            <w:tcW w:w="1422" w:type="dxa"/>
            <w:vAlign w:val="center"/>
          </w:tcPr>
          <w:p>
            <w:r>
              <w:t>~10-20%</w:t>
            </w:r>
          </w:p>
        </w:tc>
      </w:tr>
    </w:tbl>
    <w:p w14:paraId="2F3FEF93" w14:textId="77777777" w:rsidR="00A26BD9" w:rsidRDefault="00A26BD9">
      <w:pPr>
        <w:rPr>
          <w:rFonts w:cs="Aptos"/>
          <w:sz w:val="8"/>
          <w:szCs w:val="8"/>
        </w:rPr>
      </w:pPr>
    </w:p>
    <w:p w14:paraId="42D6A94D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Players offering a solution today</w:t>
      </w:r>
    </w:p>
    <w:p w14:paraId="76C37334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No one sells 'microwave integration made accessible' as a product. What exists: (a) generalist EM/CFD suites at expert price/skill level (Ansys, CST, COMSOL), (b) cloud CAE platforms (SimScale, Ansys cloud) that remove the compute barrier but not the expertise barrier, (c) microwave component/generator vendors (Muegge, Sairem, Richardson, e2v) who effectively act as the integration path today via application labs and OEM supply, and (d) a fragmented layer of MW consultants and university labs. So the competitive field is indirect: ProSeed would compete with 'hire/borrow expertise' rather than with another software vendor.</w:t>
      </w:r>
    </w:p>
    <w:p w14:paraId="43279371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673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67"/>
        <w:gridCol w:w="1734"/>
        <w:gridCol w:w="1472"/>
      </w:tblGrid>
      <w:tr w:rsidR="00A26BD9" w14:paraId="6905B136" w14:textId="77777777" w:rsidTr="00374BD6">
        <w:trPr>
          <w:cantSplit/>
          <w:trHeight w:val="240"/>
          <w:tblHeader/>
        </w:trPr>
        <w:tc>
          <w:tcPr>
            <w:tcW w:w="1467" w:type="dxa"/>
            <w:shd w:val="clear" w:color="auto" w:fill="F3F4F6"/>
            <w:vAlign w:val="center"/>
          </w:tcPr>
          <w:p w14:paraId="60503223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Player</w:t>
            </w:r>
          </w:p>
        </w:tc>
        <w:tc>
          <w:tcPr>
            <w:tcW w:w="1734" w:type="dxa"/>
            <w:shd w:val="clear" w:color="auto" w:fill="F3F4F6"/>
            <w:vAlign w:val="center"/>
          </w:tcPr>
          <w:p w14:paraId="7FA04B9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Type of solution</w:t>
            </w:r>
          </w:p>
        </w:tc>
        <w:tc>
          <w:tcPr>
            <w:tcW w:w="1472" w:type="dxa"/>
            <w:shd w:val="clear" w:color="auto" w:fill="F3F4F6"/>
            <w:vAlign w:val="center"/>
          </w:tcPr>
          <w:p w14:paraId="4381E39C" w14:textId="0140A43D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374BD6" w14:paraId="47C2922C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Large (Ansys/Synopsys, Dassault SIMULIA, COMSOL, Altair, Siemens, cloud CAE like SimScale)</w:t>
            </w:r>
          </w:p>
        </w:tc>
        <w:tc>
          <w:tcPr>
            <w:tcW w:w="1734" w:type="dxa"/>
            <w:vAlign w:val="center"/>
          </w:tcPr>
          <w:p>
            <w:r>
              <w:t>generic multiphysics software + cloud HPC; powerful but require RF/EM specialists the target customers do not have</w:t>
            </w:r>
          </w:p>
        </w:tc>
        <w:tc>
          <w:tcPr>
            <w:tcW w:w="1472" w:type="dxa"/>
            <w:vAlign w:val="center"/>
          </w:tcPr>
          <w:p>
            <w:r>
              <w:t>~70-80% of EM-sim spend; ~0% dedicated to non-expert MW integration</w:t>
            </w:r>
          </w:p>
        </w:tc>
      </w:tr>
      <w:tr w:rsidR="00374BD6" w14:paraId="7A7D589E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Medium (QWED QuickWave; MW component/generator vendors Muegge, SAIREM, Richardson, e2v with application labs; microwave design consultancies)</w:t>
            </w:r>
          </w:p>
        </w:tc>
        <w:tc>
          <w:tcPr>
            <w:tcW w:w="1734" w:type="dxa"/>
            <w:vAlign w:val="center"/>
          </w:tcPr>
          <w:p>
            <w:r>
              <w:t>specialist simulation tools + de-facto 'integration service' via component supply and co-engineering</w:t>
            </w:r>
          </w:p>
        </w:tc>
        <w:tc>
          <w:tcPr>
            <w:tcW w:w="1472" w:type="dxa"/>
            <w:vAlign w:val="center"/>
          </w:tcPr>
          <w:p>
            <w:r>
              <w:t>~10-20% niche</w:t>
            </w:r>
          </w:p>
        </w:tc>
      </w:tr>
      <w:tr w:rsidR="00374BD6" w14:paraId="3C96A5E1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Small (independent MW/EM consultants, university groups via AMPERE/IMPI networks, open-source openEMS/MEEP)</w:t>
            </w:r>
          </w:p>
        </w:tc>
        <w:tc>
          <w:tcPr>
            <w:tcW w:w="1734" w:type="dxa"/>
            <w:vAlign w:val="center"/>
          </w:tcPr>
          <w:p>
            <w:r>
              <w:t>one-off feasibility studies, contract design, free expert-level codes</w:t>
            </w:r>
          </w:p>
        </w:tc>
        <w:tc>
          <w:tcPr>
            <w:tcW w:w="1472" w:type="dxa"/>
            <w:vAlign w:val="center"/>
          </w:tcPr>
          <w:p>
            <w:r>
              <w:t>~5-10%</w:t>
            </w:r>
          </w:p>
        </w:tc>
      </w:tr>
    </w:tbl>
    <w:p w14:paraId="7A667490" w14:textId="77777777" w:rsidR="00A26BD9" w:rsidRDefault="00A26BD9">
      <w:pPr>
        <w:rPr>
          <w:rFonts w:cs="Aptos"/>
          <w:sz w:val="8"/>
          <w:szCs w:val="8"/>
        </w:rPr>
      </w:pPr>
    </w:p>
    <w:p w14:paraId="4792B19F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Regulation</w:t>
      </w:r>
    </w:p>
    <w:tbl>
      <w:tblPr>
        <w:tblW w:w="6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656"/>
        <w:gridCol w:w="1380"/>
        <w:gridCol w:w="3314"/>
      </w:tblGrid>
      <w:tr w:rsidR="00A26BD9" w14:paraId="66DDEBB9" w14:textId="77777777">
        <w:trPr>
          <w:cantSplit/>
          <w:trHeight w:val="240"/>
          <w:tblHeader/>
        </w:trPr>
        <w:tc>
          <w:tcPr>
            <w:tcW w:w="1656" w:type="dxa"/>
            <w:shd w:val="clear" w:color="auto" w:fill="F3F4F6"/>
            <w:vAlign w:val="center"/>
          </w:tcPr>
          <w:p w14:paraId="5FD78D6A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Regulation</w:t>
            </w:r>
          </w:p>
        </w:tc>
        <w:tc>
          <w:tcPr>
            <w:tcW w:w="1380" w:type="dxa"/>
            <w:shd w:val="clear" w:color="auto" w:fill="F3F4F6"/>
            <w:vAlign w:val="center"/>
          </w:tcPr>
          <w:p w14:paraId="6B58F8C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Jurisdiction</w:t>
            </w:r>
          </w:p>
        </w:tc>
        <w:tc>
          <w:tcPr>
            <w:tcW w:w="3314" w:type="dxa"/>
            <w:shd w:val="clear" w:color="auto" w:fill="F3F4F6"/>
            <w:vAlign w:val="center"/>
          </w:tcPr>
          <w:p w14:paraId="4F4D630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What it means for us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IEC/EN 60519-6</w:t>
            </w:r>
          </w:p>
        </w:tc>
        <w:tc>
          <w:tcPr>
            <w:tcW w:w="1380" w:type="dxa"/>
            <w:vAlign w:val="center"/>
          </w:tcPr>
          <w:p>
            <w:r>
              <w:t>International/EU</w:t>
            </w:r>
          </w:p>
        </w:tc>
        <w:tc>
          <w:tcPr>
            <w:tcW w:w="3314" w:type="dxa"/>
            <w:vAlign w:val="center"/>
          </w:tcPr>
          <w:p>
            <w:r>
              <w:t>Safety standard for industrial microwave heating installations — an OEM integrating microwave modules must meet leakage/interlock requirements; a tool with built-in compliance checks directly de-risks their first product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CISPR 11 / EN 55011</w:t>
            </w:r>
          </w:p>
        </w:tc>
        <w:tc>
          <w:tcPr>
            <w:tcW w:w="1380" w:type="dxa"/>
            <w:vAlign w:val="center"/>
          </w:tcPr>
          <w:p>
            <w:r>
              <w:t>International/EU</w:t>
            </w:r>
          </w:p>
        </w:tc>
        <w:tc>
          <w:tcPr>
            <w:tcW w:w="3314" w:type="dxa"/>
            <w:vAlign w:val="center"/>
          </w:tcPr>
          <w:p>
            <w:r>
              <w:t>ISM emission limits; non-expert OEMs risk building non-compliant machines — guided templates with compliant reference designs are a selling point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ITU Radio Regulations ISM bands</w:t>
            </w:r>
          </w:p>
        </w:tc>
        <w:tc>
          <w:tcPr>
            <w:tcW w:w="1380" w:type="dxa"/>
            <w:vAlign w:val="center"/>
          </w:tcPr>
          <w:p>
            <w:r>
              <w:t>Global, region-dependent</w:t>
            </w:r>
          </w:p>
        </w:tc>
        <w:tc>
          <w:tcPr>
            <w:tcW w:w="3314" w:type="dxa"/>
            <w:vAlign w:val="center"/>
          </w:tcPr>
          <w:p>
            <w:r>
              <w:t>Restricts operating frequencies (915 MHz mainly Region 2, 2.45 GHz worldwide); an 'access' tool should hide band-selection complexity behind target-market presets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Machinery Directive 2006/42/EC + EMC Directive 2014/30/EU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CE marking obligations for machines incorporating microwave subsystems; documentation support eases OEM compliance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Directive 2013/35/EU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Worker EMF exposure limits shape enclosure/applicator requirements a novice OEM must respect</w:t>
            </w:r>
          </w:p>
        </w:tc>
      </w:tr>
    </w:tbl>
    <w:p w14:paraId="0643D740" w14:textId="77777777" w:rsidR="00A26BD9" w:rsidRDefault="00A26BD9">
      <w:pPr>
        <w:rPr>
          <w:rFonts w:cs="Aptos"/>
          <w:sz w:val="8"/>
          <w:szCs w:val="8"/>
        </w:rPr>
      </w:pPr>
    </w:p>
    <w:p w14:paraId="73A5540A" w14:textId="77777777" w:rsidR="00A26BD9" w:rsidRDefault="00A26BD9">
      <w:pPr>
        <w:keepNext/>
        <w:spacing w:before="11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26BD9" w14:paraId="1DA81FDE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89600C4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26BD9" w14:paraId="1172A095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5DB581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AEEACB0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63F079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B14566D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644559B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6951C7C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E2C6984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873E4E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6E2FCB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042053F1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E6F1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7C06467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6740F45A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1EB1C8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392852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3B330B9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74161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3C6131C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531762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2AD8C8F1" w14:textId="77777777" w:rsidR="00A26BD9" w:rsidRDefault="00A26BD9">
      <w:pPr>
        <w:spacing w:line="264" w:lineRule="auto"/>
        <w:rPr>
          <w:rFonts w:cs="Aptos"/>
          <w:sz w:val="4"/>
          <w:szCs w:val="4"/>
        </w:rPr>
      </w:pPr>
    </w:p>
    <w:sectPr w:rsidR="00A26BD9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099B2" w14:textId="77777777" w:rsidR="00DB50FB" w:rsidRDefault="00DB50FB" w:rsidP="001564B6">
      <w:r>
        <w:separator/>
      </w:r>
    </w:p>
  </w:endnote>
  <w:endnote w:type="continuationSeparator" w:id="0">
    <w:p w14:paraId="2206A2B6" w14:textId="77777777" w:rsidR="00DB50FB" w:rsidRDefault="00DB50FB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4429" w14:textId="77777777" w:rsidR="00A26BD9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C876" w14:textId="77777777" w:rsidR="00DB50FB" w:rsidRDefault="00DB50FB" w:rsidP="001564B6">
      <w:r>
        <w:separator/>
      </w:r>
    </w:p>
  </w:footnote>
  <w:footnote w:type="continuationSeparator" w:id="0">
    <w:p w14:paraId="10E2785C" w14:textId="77777777" w:rsidR="00DB50FB" w:rsidRDefault="00DB50FB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34BD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15D83"/>
    <w:multiLevelType w:val="singleLevel"/>
    <w:tmpl w:val="617E9A14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9792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343D98"/>
    <w:rsid w:val="00367B1F"/>
    <w:rsid w:val="00374BD6"/>
    <w:rsid w:val="004719E8"/>
    <w:rsid w:val="005C40D2"/>
    <w:rsid w:val="005D0A9D"/>
    <w:rsid w:val="006B3658"/>
    <w:rsid w:val="00700C67"/>
    <w:rsid w:val="00A26BD9"/>
    <w:rsid w:val="00A944F3"/>
    <w:rsid w:val="00AE5410"/>
    <w:rsid w:val="00B7003B"/>
    <w:rsid w:val="00C70919"/>
    <w:rsid w:val="00DB50FB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B54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2A1948-8255-46B4-84EF-DDCF3695AD5C}"/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202610_2a Market Scan Template </Template>
  <TotalTime>0</TotalTime>
  <Pages>1</Pages>
  <Words>263</Words>
  <Characters>1252</Characters>
  <Application>Microsoft Office Word</Application>
  <DocSecurity>0</DocSecurity>
  <Lines>54</Lines>
  <Paragraphs>38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