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E3AF" w14:textId="23E619E7" w:rsidR="00A26BD9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>Step 2</w:t>
      </w:r>
      <w:proofErr w:type="gramStart"/>
      <w:r>
        <w:rPr>
          <w:rFonts w:cs="Aptos"/>
          <w:b/>
          <w:bCs/>
          <w:color w:val="EAB900"/>
          <w:sz w:val="22"/>
          <w:szCs w:val="22"/>
        </w:rPr>
        <w:t xml:space="preserve">a  </w:t>
      </w:r>
      <w:r w:rsidR="00A944F3">
        <w:rPr>
          <w:rFonts w:cs="Aptos"/>
          <w:b/>
          <w:bCs/>
          <w:color w:val="EAB900"/>
          <w:sz w:val="22"/>
          <w:szCs w:val="22"/>
        </w:rPr>
        <w:t>-</w:t>
      </w:r>
      <w:proofErr w:type="gramEnd"/>
      <w:r>
        <w:rPr>
          <w:rFonts w:cs="Aptos"/>
          <w:b/>
          <w:bCs/>
          <w:color w:val="EAB900"/>
          <w:sz w:val="22"/>
          <w:szCs w:val="22"/>
        </w:rPr>
        <w:t xml:space="preserve">  H7 - Ore weakening before comminution</w:t>
      </w:r>
    </w:p>
    <w:p w14:paraId="5BBE768F" w14:textId="77777777" w:rsidR="00A26BD9" w:rsidRPr="00374BD6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Market scan</w:t>
      </w:r>
    </w:p>
    <w:p w14:paraId="34D72F74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Market size</w:t>
      </w:r>
    </w:p>
    <w:p w14:paraId="3AD932B4" w14:textId="0033F9AF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The relevant market is comminution and ore pre-treatment equipment within the broader mineral processing equipment market (~$23B/yr in 2025). Crushing, screening and grinding equipment alone is roughly $10-15B/yr worldwide, growing ~4-6%/yr, and comminution consumes ~36-50% of total mine-site energy, making it the single biggest energy consumer and the natural target for energy-saving retrofits. A microwave pre-treatment unit would sell as an add-on upstream of mills into this existing spend, plus a large opex-saving value pool: comminution electricity on a big copper concentrator is worth tens of $M/yr per site.</w:t>
      </w:r>
    </w:p>
    <w:p w14:paraId="397AF537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A26BD9" w14:paraId="3C8BC1A3" w14:textId="77777777">
        <w:trPr>
          <w:cantSplit/>
          <w:trHeight w:val="240"/>
          <w:tblHeader/>
        </w:trPr>
        <w:tc>
          <w:tcPr>
            <w:tcW w:w="1134" w:type="dxa"/>
            <w:shd w:val="clear" w:color="auto" w:fill="F3F4F6"/>
            <w:vAlign w:val="center"/>
          </w:tcPr>
          <w:p w14:paraId="3D1DFFF2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42F0ACE6" w14:textId="0FA52888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2625C00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1145C463" w14:textId="1FF2B160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</w:tr>
      <w:tr w:rsidR="00A26BD9" w14:paraId="5405F561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5890627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Europe</w:t>
            </w:r>
          </w:p>
        </w:tc>
        <w:tc>
          <w:tcPr>
            <w:tcW w:w="1134" w:type="dxa"/>
            <w:vAlign w:val="center"/>
          </w:tcPr>
          <w:p>
            <w:r>
              <w:t>~$2-3B/yr (~10% of mineral processing equipment spend)</w:t>
            </w:r>
          </w:p>
        </w:tc>
        <w:tc>
          <w:tcPr>
            <w:tcW w:w="1134" w:type="dxa"/>
            <w:vAlign w:val="center"/>
          </w:tcPr>
          <w:p w14:paraId="59BCC229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Asia</w:t>
            </w:r>
          </w:p>
        </w:tc>
        <w:tc>
          <w:tcPr>
            <w:tcW w:w="1134" w:type="dxa"/>
            <w:vAlign w:val="center"/>
          </w:tcPr>
          <w:p>
            <w:r>
              <w:t>~$9-10B/yr (~40-45%; China, Australia, India dominant)</w:t>
            </w:r>
          </w:p>
        </w:tc>
      </w:tr>
      <w:tr w:rsidR="00A26BD9" w14:paraId="2C19B988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03A360E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America</w:t>
            </w:r>
          </w:p>
        </w:tc>
        <w:tc>
          <w:tcPr>
            <w:tcW w:w="1134" w:type="dxa"/>
            <w:vAlign w:val="center"/>
          </w:tcPr>
          <w:p>
            <w:r>
              <w:t>~$5-6B/yr (~25%; Chile/Peru copper belt + North America)</w:t>
            </w:r>
          </w:p>
        </w:tc>
        <w:tc>
          <w:tcPr>
            <w:tcW w:w="1134" w:type="dxa"/>
            <w:vAlign w:val="center"/>
          </w:tcPr>
          <w:p w14:paraId="495F852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Africa</w:t>
            </w:r>
          </w:p>
        </w:tc>
        <w:tc>
          <w:tcPr>
            <w:tcW w:w="1134" w:type="dxa"/>
            <w:vAlign w:val="center"/>
          </w:tcPr>
          <w:p>
            <w:r>
              <w:t>~$3-4B/yr incl. Middle East (~15%; fastest-growing, ~10% CAGR)</w:t>
            </w:r>
          </w:p>
        </w:tc>
      </w:tr>
    </w:tbl>
    <w:p w14:paraId="71EF5186" w14:textId="77777777" w:rsidR="00A26BD9" w:rsidRDefault="00A26BD9">
      <w:pPr>
        <w:rPr>
          <w:rFonts w:cs="Aptos"/>
          <w:sz w:val="8"/>
          <w:szCs w:val="8"/>
        </w:rPr>
      </w:pPr>
    </w:p>
    <w:p w14:paraId="05176796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6CBF5DFE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ICMM's Global Mining Dataset lists ~15,000 mining/processing facilities across 151 countries; the addressable subset for ore weakening is hard-rock concentrators (copper, gold, iron ore, PGM, lithium) — order of ~3,000-5,000 sites. Economic value concentrates in a few hundred large concentrators (&gt;10 Mt/y) run by majors and mid-tiers. Large miners are reachable via OEM/EPCM channels but are conservative, capex-disciplined and slow (multi-year pilot-before-adoption cycles); medium miners are the realistic early adopters; small mines lack capex and power infrastructure for high-MW microwave units.</w:t>
      </w:r>
    </w:p>
    <w:p w14:paraId="0485BB6F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422"/>
      </w:tblGrid>
      <w:tr w:rsidR="00A26BD9" w14:paraId="2D0236BD" w14:textId="77777777" w:rsidTr="00374BD6">
        <w:trPr>
          <w:cantSplit/>
          <w:trHeight w:val="240"/>
          <w:tblHeader/>
        </w:trPr>
        <w:tc>
          <w:tcPr>
            <w:tcW w:w="1413" w:type="dxa"/>
            <w:shd w:val="clear" w:color="auto" w:fill="F3F4F6"/>
            <w:vAlign w:val="center"/>
          </w:tcPr>
          <w:p w14:paraId="19744301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Customer size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1C3B4140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Approx. number</w:t>
            </w:r>
          </w:p>
        </w:tc>
        <w:tc>
          <w:tcPr>
            <w:tcW w:w="1422" w:type="dxa"/>
            <w:shd w:val="clear" w:color="auto" w:fill="F3F4F6"/>
            <w:vAlign w:val="center"/>
          </w:tcPr>
          <w:p w14:paraId="2842FD75" w14:textId="18ABECDE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A26BD9" w14:paraId="03BCDF12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48FAC434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Large</w:t>
            </w:r>
          </w:p>
        </w:tc>
        <w:tc>
          <w:tcPr>
            <w:tcW w:w="1701" w:type="dxa"/>
            <w:vAlign w:val="center"/>
          </w:tcPr>
          <w:p>
            <w:r>
              <w:t>~200-400 concentrators (&gt;10 Mt/y ore)</w:t>
            </w:r>
          </w:p>
        </w:tc>
        <w:tc>
          <w:tcPr>
            <w:tcW w:w="1422" w:type="dxa"/>
            <w:vAlign w:val="center"/>
          </w:tcPr>
          <w:p>
            <w:r>
              <w:t>~70-80% of world processed tonnage</w:t>
            </w:r>
          </w:p>
        </w:tc>
      </w:tr>
      <w:tr w:rsidR="00A26BD9" w14:paraId="59E14C2E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7FC67633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701" w:type="dxa"/>
            <w:vAlign w:val="center"/>
          </w:tcPr>
          <w:p>
            <w:r>
              <w:t>~1,000-1,500 concentrators (1-10 Mt/y)</w:t>
            </w:r>
          </w:p>
        </w:tc>
        <w:tc>
          <w:tcPr>
            <w:tcW w:w="1422" w:type="dxa"/>
            <w:vAlign w:val="center"/>
          </w:tcPr>
          <w:p>
            <w:r>
              <w:t>~15-25% of tonnage</w:t>
            </w:r>
          </w:p>
        </w:tc>
      </w:tr>
      <w:tr w:rsidR="00A26BD9" w14:paraId="67D34661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33346B8F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Small</w:t>
            </w:r>
          </w:p>
        </w:tc>
        <w:tc>
          <w:tcPr>
            <w:tcW w:w="1701" w:type="dxa"/>
            <w:vAlign w:val="center"/>
          </w:tcPr>
          <w:p>
            <w:r>
              <w:t>~3,000+ sites (&lt;1 Mt/y)</w:t>
            </w:r>
          </w:p>
        </w:tc>
        <w:tc>
          <w:tcPr>
            <w:tcW w:w="1422" w:type="dxa"/>
            <w:vAlign w:val="center"/>
          </w:tcPr>
          <w:p>
            <w:r>
              <w:t>&lt;10% of tonnage</w:t>
            </w:r>
          </w:p>
        </w:tc>
      </w:tr>
    </w:tbl>
    <w:p w14:paraId="2F3FEF93" w14:textId="77777777" w:rsidR="00A26BD9" w:rsidRDefault="00A26BD9">
      <w:pPr>
        <w:rPr>
          <w:rFonts w:cs="Aptos"/>
          <w:sz w:val="8"/>
          <w:szCs w:val="8"/>
        </w:rPr>
      </w:pPr>
    </w:p>
    <w:p w14:paraId="42D6A94D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Players offering a solution today</w:t>
      </w:r>
    </w:p>
    <w:p w14:paraId="76C37334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Comminution equipment is supplied by a concentrated tier of global OEMs — Metso (#1 crushing, top-3 grinding), FLSmidth, Weir (Enduron HPGR), Sandvik, thyssenkrupp, CITIC — with the top 3 holding ~35% of crushing/screening and strong aftermarket lock-in. There is no established commercial supplier of microwave ore pre-treatment; the space is emerging (University of Nottingham + Teledyne e2v 'MicroHammer' with Rio Tinto at pilot scale; SELFRAG's high-voltage pulse machines are the closest commercialised analogue). Ore pre-treatment is therefore a contested white space the incumbents do not yet own.</w:t>
      </w:r>
    </w:p>
    <w:p w14:paraId="43279371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673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67"/>
        <w:gridCol w:w="1734"/>
        <w:gridCol w:w="1472"/>
      </w:tblGrid>
      <w:tr w:rsidR="00A26BD9" w14:paraId="6905B136" w14:textId="77777777" w:rsidTr="00374BD6">
        <w:trPr>
          <w:cantSplit/>
          <w:trHeight w:val="240"/>
          <w:tblHeader/>
        </w:trPr>
        <w:tc>
          <w:tcPr>
            <w:tcW w:w="1467" w:type="dxa"/>
            <w:shd w:val="clear" w:color="auto" w:fill="F3F4F6"/>
            <w:vAlign w:val="center"/>
          </w:tcPr>
          <w:p w14:paraId="60503223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Player</w:t>
            </w:r>
          </w:p>
        </w:tc>
        <w:tc>
          <w:tcPr>
            <w:tcW w:w="1734" w:type="dxa"/>
            <w:shd w:val="clear" w:color="auto" w:fill="F3F4F6"/>
            <w:vAlign w:val="center"/>
          </w:tcPr>
          <w:p w14:paraId="7FA04B9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Type of solution</w:t>
            </w:r>
          </w:p>
        </w:tc>
        <w:tc>
          <w:tcPr>
            <w:tcW w:w="1472" w:type="dxa"/>
            <w:shd w:val="clear" w:color="auto" w:fill="F3F4F6"/>
            <w:vAlign w:val="center"/>
          </w:tcPr>
          <w:p w14:paraId="4381E39C" w14:textId="0140A43D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374BD6" w14:paraId="47C2922C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Large (Metso, FLSmidth, Weir, Sandvik, thyssenkrupp, CITIC)</w:t>
            </w:r>
          </w:p>
        </w:tc>
        <w:tc>
          <w:tcPr>
            <w:tcW w:w="1734" w:type="dxa"/>
            <w:vAlign w:val="center"/>
          </w:tcPr>
          <w:p>
            <w:r>
              <w:t>Full comminution lines: gyratory/cone crushers, SAG/ball mills, HPGR, screens + aftermarket service; energy-efficient grinding packages</w:t>
            </w:r>
          </w:p>
        </w:tc>
        <w:tc>
          <w:tcPr>
            <w:tcW w:w="1472" w:type="dxa"/>
            <w:vAlign w:val="center"/>
          </w:tcPr>
          <w:p>
            <w:r>
              <w:t>top 3 ~35% of crushing/screening; ~60-70% combined in large mills</w:t>
            </w:r>
          </w:p>
        </w:tc>
      </w:tr>
      <w:tr w:rsidR="00374BD6" w14:paraId="7A7D589E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Medium (Koppen, TAKRAF, Tenova, Multotec, Loesche, McLanahan)</w:t>
            </w:r>
          </w:p>
        </w:tc>
        <w:tc>
          <w:tcPr>
            <w:tcW w:w="1734" w:type="dxa"/>
            <w:vAlign w:val="center"/>
          </w:tcPr>
          <w:p>
            <w:r>
              <w:t>HPGR, specialised mills, screening, regional OEM equipment and plant packages</w:t>
            </w:r>
          </w:p>
        </w:tc>
        <w:tc>
          <w:tcPr>
            <w:tcW w:w="1472" w:type="dxa"/>
            <w:vAlign w:val="center"/>
          </w:tcPr>
          <w:p>
            <w:r>
              <w:t>~20-30%</w:t>
            </w:r>
          </w:p>
        </w:tc>
      </w:tr>
      <w:tr w:rsidR="00374BD6" w14:paraId="3C96A5E1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Small/emerging (SELFRAG HVP, Teledyne e2v MicroHammer, Lightning Machines, ore-sorting vendors)</w:t>
            </w:r>
          </w:p>
        </w:tc>
        <w:tc>
          <w:tcPr>
            <w:tcW w:w="1734" w:type="dxa"/>
            <w:vAlign w:val="center"/>
          </w:tcPr>
          <w:p>
            <w:r>
              <w:t>Novel pre-treatment/pre-concentration: high-voltage pulse fragmentation, microwave pilot systems, sensor sorting</w:t>
            </w:r>
          </w:p>
        </w:tc>
        <w:tc>
          <w:tcPr>
            <w:tcW w:w="1472" w:type="dxa"/>
            <w:vAlign w:val="center"/>
          </w:tcPr>
          <w:p>
            <w:r>
              <w:t>&lt;5%, no dominant player</w:t>
            </w:r>
          </w:p>
        </w:tc>
      </w:tr>
    </w:tbl>
    <w:p w14:paraId="7A667490" w14:textId="77777777" w:rsidR="00A26BD9" w:rsidRDefault="00A26BD9">
      <w:pPr>
        <w:rPr>
          <w:rFonts w:cs="Aptos"/>
          <w:sz w:val="8"/>
          <w:szCs w:val="8"/>
        </w:rPr>
      </w:pPr>
    </w:p>
    <w:p w14:paraId="4792B19F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Regulation</w:t>
      </w:r>
    </w:p>
    <w:tbl>
      <w:tblPr>
        <w:tblW w:w="6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656"/>
        <w:gridCol w:w="1380"/>
        <w:gridCol w:w="3314"/>
      </w:tblGrid>
      <w:tr w:rsidR="00A26BD9" w14:paraId="66DDEBB9" w14:textId="77777777">
        <w:trPr>
          <w:cantSplit/>
          <w:trHeight w:val="240"/>
          <w:tblHeader/>
        </w:trPr>
        <w:tc>
          <w:tcPr>
            <w:tcW w:w="1656" w:type="dxa"/>
            <w:shd w:val="clear" w:color="auto" w:fill="F3F4F6"/>
            <w:vAlign w:val="center"/>
          </w:tcPr>
          <w:p w14:paraId="5FD78D6A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Regulation</w:t>
            </w:r>
          </w:p>
        </w:tc>
        <w:tc>
          <w:tcPr>
            <w:tcW w:w="1380" w:type="dxa"/>
            <w:shd w:val="clear" w:color="auto" w:fill="F3F4F6"/>
            <w:vAlign w:val="center"/>
          </w:tcPr>
          <w:p w14:paraId="6B58F8C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Jurisdiction</w:t>
            </w:r>
          </w:p>
        </w:tc>
        <w:tc>
          <w:tcPr>
            <w:tcW w:w="3314" w:type="dxa"/>
            <w:shd w:val="clear" w:color="auto" w:fill="F3F4F6"/>
            <w:vAlign w:val="center"/>
          </w:tcPr>
          <w:p w14:paraId="4F4D630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What it means for us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EU Industrial Emissions Directive / Mining BREF (MIN BREF)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Specific energy consumption per tonne of ore is being adopted as a key environmental indicator for mine sites; BAT conclusions will push operators toward best-available energy-efficient comminution techniques — favours retrofit pre-treatment.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EU ETS + Energy Efficiency Directive (Art. 11 audits)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Carbon price (~EUR60-80/t CO2) and mandatory 4-yearly energy audits for large companies raise the cost of comminution electricity and force audited efficiency measures — strengthens the energy-saving sales case.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EU Critical Raw Materials Act (2024)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10% of EU extraction and 40% of processing to be domestic by 2030 with fast-tracked permitting — creates new EU concentrator builds where a Swiss technology supplier can position early.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Australia Safeguard Mechanism</w:t>
            </w:r>
          </w:p>
        </w:tc>
        <w:tc>
          <w:tcPr>
            <w:tcW w:w="1380" w:type="dxa"/>
            <w:vAlign w:val="center"/>
          </w:tcPr>
          <w:p>
            <w:r>
              <w:t>Australia</w:t>
            </w:r>
          </w:p>
        </w:tc>
        <w:tc>
          <w:tcPr>
            <w:tcW w:w="3314" w:type="dxa"/>
            <w:vAlign w:val="center"/>
          </w:tcPr>
          <w:p>
            <w:r>
              <w:t>Large emitting facilities (incl. big mines) must reduce baseline emissions ~4.9%/yr to 2030; comminution electrification/efficiency is a primary lever on grid-powered sites.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EMF/RF safety: CISPR 11/EN 55011 ISM limits + EU Directive 2013/35/EU</w:t>
            </w:r>
          </w:p>
        </w:tc>
        <w:tc>
          <w:tcPr>
            <w:tcW w:w="1380" w:type="dxa"/>
            <w:vAlign w:val="center"/>
          </w:tcPr>
          <w:p>
            <w:r>
              <w:t>EU/international</w:t>
            </w:r>
          </w:p>
        </w:tc>
        <w:tc>
          <w:tcPr>
            <w:tcW w:w="3314" w:type="dxa"/>
            <w:vAlign w:val="center"/>
          </w:tcPr>
          <w:p>
            <w:r>
              <w:t>High-power microwave units must be shielded to ISM leakage limits at 915 MHz/2.45 GHz and worker EMF exposure limits — adds engineering/compliance requirements to machine design but no licensing barrier.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ICMM member net-zero 2050 commitments</w:t>
            </w:r>
          </w:p>
        </w:tc>
        <w:tc>
          <w:tcPr>
            <w:tcW w:w="1380" w:type="dxa"/>
            <w:vAlign w:val="center"/>
          </w:tcPr>
          <w:p>
            <w:r>
              <w:t>Global (voluntary)</w:t>
            </w:r>
          </w:p>
        </w:tc>
        <w:tc>
          <w:tcPr>
            <w:tcW w:w="3314" w:type="dxa"/>
            <w:vAlign w:val="center"/>
          </w:tcPr>
          <w:p>
            <w:r>
              <w:t>Major miners representing ~1/3 of the industry have committed to scope 1-2 net zero — pulls demand for step-change energy technologies beyond regulatory minimums.</w:t>
            </w:r>
          </w:p>
        </w:tc>
      </w:tr>
    </w:tbl>
    <w:p w14:paraId="0643D740" w14:textId="77777777" w:rsidR="00A26BD9" w:rsidRDefault="00A26BD9">
      <w:pPr>
        <w:rPr>
          <w:rFonts w:cs="Aptos"/>
          <w:sz w:val="8"/>
          <w:szCs w:val="8"/>
        </w:rPr>
      </w:pPr>
    </w:p>
    <w:p w14:paraId="73A5540A" w14:textId="77777777" w:rsidR="00A26BD9" w:rsidRDefault="00A26BD9">
      <w:pPr>
        <w:keepNext/>
        <w:spacing w:before="11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26BD9" w14:paraId="1DA81FDE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89600C4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26BD9" w14:paraId="1172A095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5DB581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AEEACB0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63F079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B14566D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644559B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6951C7C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E2C6984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5873E4E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6E2FCB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042053F1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E6F1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7C06467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6740F45A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1EB1C8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392852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3B330B9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74161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3C6131C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531762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2AD8C8F1" w14:textId="77777777" w:rsidR="00A26BD9" w:rsidRDefault="00A26BD9">
      <w:pPr>
        <w:spacing w:line="264" w:lineRule="auto"/>
        <w:rPr>
          <w:rFonts w:cs="Aptos"/>
          <w:sz w:val="4"/>
          <w:szCs w:val="4"/>
        </w:rPr>
      </w:pPr>
    </w:p>
    <w:sectPr w:rsidR="00A26BD9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099B2" w14:textId="77777777" w:rsidR="00DB50FB" w:rsidRDefault="00DB50FB" w:rsidP="001564B6">
      <w:r>
        <w:separator/>
      </w:r>
    </w:p>
  </w:endnote>
  <w:endnote w:type="continuationSeparator" w:id="0">
    <w:p w14:paraId="2206A2B6" w14:textId="77777777" w:rsidR="00DB50FB" w:rsidRDefault="00DB50FB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4429" w14:textId="77777777" w:rsidR="00A26BD9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C876" w14:textId="77777777" w:rsidR="00DB50FB" w:rsidRDefault="00DB50FB" w:rsidP="001564B6">
      <w:r>
        <w:separator/>
      </w:r>
    </w:p>
  </w:footnote>
  <w:footnote w:type="continuationSeparator" w:id="0">
    <w:p w14:paraId="10E2785C" w14:textId="77777777" w:rsidR="00DB50FB" w:rsidRDefault="00DB50FB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34BD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15D83"/>
    <w:multiLevelType w:val="singleLevel"/>
    <w:tmpl w:val="617E9A14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9792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343D98"/>
    <w:rsid w:val="00367B1F"/>
    <w:rsid w:val="00374BD6"/>
    <w:rsid w:val="004719E8"/>
    <w:rsid w:val="005C40D2"/>
    <w:rsid w:val="005D0A9D"/>
    <w:rsid w:val="006B3658"/>
    <w:rsid w:val="00700C67"/>
    <w:rsid w:val="00A26BD9"/>
    <w:rsid w:val="00A944F3"/>
    <w:rsid w:val="00AE5410"/>
    <w:rsid w:val="00B7003B"/>
    <w:rsid w:val="00C70919"/>
    <w:rsid w:val="00DB50FB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B54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2A1948-8255-46B4-84EF-DDCF3695AD5C}"/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202610_2a Market Scan Template </Template>
  <TotalTime>0</TotalTime>
  <Pages>1</Pages>
  <Words>263</Words>
  <Characters>1252</Characters>
  <Application>Microsoft Office Word</Application>
  <DocSecurity>0</DocSecurity>
  <Lines>54</Lines>
  <Paragraphs>38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