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H8 - Higher ore extraction yields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value pool is mineral recovery inside the ~$23B/yr global mineral processing equipment market, but the real prize is recovered metal: a 1% recovery uplift on a large copper concentrator is worth roughly $5-15M/yr in extra revenue — far more than the equipment cost. Liberation/recovery improvements target flotation plants and leach operations within the same comminution-adjacent spend (~$10-15B/yr on crushing/grinding equipment plus separation). Demand is amplified by declining ore grades industry-wide, which forces finer grinding and makes liberation the bottleneck of recovery.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~$2-3B/yr (~10%; Scandinavia + new CRMA-driven projects)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~$9-10B/yr (~40-45%; China, Australia, India concentrator fleets)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~$5-6B/yr (~25%; Chile/Peru copper + North American gold/copper)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~$3-4B/yr incl. Middle East (~15%; copper/cobalt/gold growth, ~10% CAGR)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Same customer base as ore weakening — hard-rock concentrators and leach operations, ~3,000-5,000 sites of the ~15,000 facilities in ICMM's dataset — but the value case differs: recovery uplift pays best on high-value ores (gold, copper, PGM, refractory and low-grade deposits where every recovery point matters). Large concentrators monetise +1% recovery immediately; refractory-gold and heap-leach operators are a particularly receptive niche; small mines need simple bolt-on units. Sales motion is via metallurgical testwork → plant trial, typically 1-3 year adoption cycles.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~200-400 concentrators (&gt;10 Mt/y; majors, high revenue per recovery point)</w:t>
            </w:r>
          </w:p>
        </w:tc>
        <w:tc>
          <w:tcPr>
            <w:tcW w:w="1422" w:type="dxa"/>
            <w:vAlign w:val="center"/>
          </w:tcPr>
          <w:p>
            <w:r>
              <w:t>~70-80% of world processed tonnage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~1,000-1,500 concentrators incl. gold/refractory niche (1-10 Mt/y)</w:t>
            </w:r>
          </w:p>
        </w:tc>
        <w:tc>
          <w:tcPr>
            <w:tcW w:w="1422" w:type="dxa"/>
            <w:vAlign w:val="center"/>
          </w:tcPr>
          <w:p>
            <w:r>
              <w:t>~15-25% of tonnage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~3,000+ sites (&lt;1 Mt/y; heap-leach and gravity gold)</w:t>
            </w:r>
          </w:p>
        </w:tc>
        <w:tc>
          <w:tcPr>
            <w:tcW w:w="1422" w:type="dxa"/>
            <w:vAlign w:val="center"/>
          </w:tcPr>
          <w:p>
            <w:r>
              <w:t>&lt;10% of tonnage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Recovery performance is today delivered by the same concentrated OEM tier (Metso, FLSmidth, Weir — #1 positions in flotation/classification) plus reagent/leaching specialists; incumbents optimise recovery inside conventional flowsheets rather than changing ore breakage physics. No commercial liberation-enhancing pre-treatment supplier exists: the emerging field (Nottingham/e2v MicroHammer microwave pilots; SELFRAG high-voltage pulse machines with JKMRC/Newcrest testwork showing selective grain-boundary breakage) is pre-commercial, leaving the liberation pre-treatment space open.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(Metso, FLSmidth, Weir)</w:t>
            </w:r>
          </w:p>
        </w:tc>
        <w:tc>
          <w:tcPr>
            <w:tcW w:w="1734" w:type="dxa"/>
            <w:vAlign w:val="center"/>
          </w:tcPr>
          <w:p>
            <w:r>
              <w:t>Flotation cells, classifiers/cyclones, regrind mills, hydrometallurgy — recovery via conventional flowsheet optimisation; strong aftermarket lock-in</w:t>
            </w:r>
          </w:p>
        </w:tc>
        <w:tc>
          <w:tcPr>
            <w:tcW w:w="1472" w:type="dxa"/>
            <w:vAlign w:val="center"/>
          </w:tcPr>
          <w:p>
            <w:r>
              <w:t>top 3 ~35-50% of relevant equipment; Metso #1 flotation/filtration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(Eriez, TAKRAF/Delkor, Tenova, Multotec, Outotec-alumni specialists)</w:t>
            </w:r>
          </w:p>
        </w:tc>
        <w:tc>
          <w:tcPr>
            <w:tcW w:w="1734" w:type="dxa"/>
            <w:vAlign w:val="center"/>
          </w:tcPr>
          <w:p>
            <w:r>
              <w:t>Separation, leaching, thickening, specialist recovery equipment</w:t>
            </w:r>
          </w:p>
        </w:tc>
        <w:tc>
          <w:tcPr>
            <w:tcW w:w="1472" w:type="dxa"/>
            <w:vAlign w:val="center"/>
          </w:tcPr>
          <w:p>
            <w:r>
              <w:t>~20-30%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Small/emerging (SELFRAG HVP, Teledyne e2v MicroHammer, Lightning Machines, TOMRA/Steinert sorting)</w:t>
            </w:r>
          </w:p>
        </w:tc>
        <w:tc>
          <w:tcPr>
            <w:tcW w:w="1734" w:type="dxa"/>
            <w:vAlign w:val="center"/>
          </w:tcPr>
          <w:p>
            <w:r>
              <w:t>Liberation-enhancing pre-treatment: pulse fragmentation, microwave pilots, sensor-based pre-concentration</w:t>
            </w:r>
          </w:p>
        </w:tc>
        <w:tc>
          <w:tcPr>
            <w:tcW w:w="1472" w:type="dxa"/>
            <w:vAlign w:val="center"/>
          </w:tcPr>
          <w:p>
            <w:r>
              <w:t>&lt;5%, fragmented, pre-commercial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Critical Raw Materials Act (2024)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Targets 10% domestic extraction / 40% processing by 2030 and defines strategic recycling/recovery benchmarks — recovery-maximising technology aligns with EU resource-efficiency objectives and can ease project permitting narratives.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Industrial Emissions Directive / MIN BREF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BAT conclusions cover beneficiation/recovery efficiency and specific consumption indicators; better liberation at coarser grind reduces energy AND reagent/water intensity, supporting compliance.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ETS + Energy Efficiency Directive Art. 11 audits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Coarser-grind-for-equal-liberation cuts grinding energy; audited energy savings plus avoided metal losses both improve the economics regulators increasingly scrutinise.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Tailings regulations (EU Extractive Waste Directive; GISTM global standard)</w:t>
            </w:r>
          </w:p>
        </w:tc>
        <w:tc>
          <w:tcPr>
            <w:tcW w:w="1380" w:type="dxa"/>
            <w:vAlign w:val="center"/>
          </w:tcPr>
          <w:p>
            <w:r>
              <w:t>EU/global</w:t>
            </w:r>
          </w:p>
        </w:tc>
        <w:tc>
          <w:tcPr>
            <w:tcW w:w="3314" w:type="dxa"/>
            <w:vAlign w:val="center"/>
          </w:tcPr>
          <w:p>
            <w:r>
              <w:t>Higher recovery = less metal and sulphide to tailings; post-Brumadinho GISTM compliance pressure favours technologies reducing tailings volumes and sulphide content.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Australia Safeguard Mechanism / ICMM net-zero commitments</w:t>
            </w:r>
          </w:p>
        </w:tc>
        <w:tc>
          <w:tcPr>
            <w:tcW w:w="1380" w:type="dxa"/>
            <w:vAlign w:val="center"/>
          </w:tcPr>
          <w:p>
            <w:r>
              <w:t>Australia/global</w:t>
            </w:r>
          </w:p>
        </w:tc>
        <w:tc>
          <w:tcPr>
            <w:tcW w:w="3314" w:type="dxa"/>
            <w:vAlign w:val="center"/>
          </w:tcPr>
          <w:p>
            <w:r>
              <w:t>Declining grades raise energy per tonne of metal; recovery uplift lowers CO2 per unit metal — supports decarbonisation plans of majors committed to net zero.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EMF/RF safety: CISPR 11/EN 55011 ISM + EU Directive 2013/35/EU</w:t>
            </w:r>
          </w:p>
        </w:tc>
        <w:tc>
          <w:tcPr>
            <w:tcW w:w="1380" w:type="dxa"/>
            <w:vAlign w:val="center"/>
          </w:tcPr>
          <w:p>
            <w:r>
              <w:t>EU/international</w:t>
            </w:r>
          </w:p>
        </w:tc>
        <w:tc>
          <w:tcPr>
            <w:tcW w:w="3314" w:type="dxa"/>
            <w:vAlign w:val="center"/>
          </w:tcPr>
          <w:p>
            <w:r>
              <w:t>Microwave units require shielding to ISM leakage limits (915 MHz/2.45 GHz) and worker EMF limits — engineering requirement, not a licensing barrier.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