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45D00B" w14:textId="77777777" w:rsidR="00AD27B4" w:rsidRDefault="00000000">
      <w:pPr>
        <w:spacing w:line="264" w:lineRule="auto"/>
        <w:rPr>
          <w:rFonts w:cs="Aptos"/>
          <w:sz w:val="20"/>
          <w:szCs w:val="20"/>
        </w:rPr>
      </w:pPr>
      <w:r>
        <w:rPr>
          <w:rFonts w:cs="Aptos"/>
          <w:b/>
          <w:bCs/>
          <w:color w:val="EAB900"/>
          <w:sz w:val="22"/>
          <w:szCs w:val="22"/>
        </w:rPr>
        <w:t xml:space="preserve">Step 2b  </w:t>
      </w:r>
      <w:r w:rsidR="00413D03">
        <w:rPr>
          <w:rFonts w:cs="Aptos"/>
          <w:b/>
          <w:bCs/>
          <w:color w:val="EAB900"/>
          <w:sz w:val="22"/>
          <w:szCs w:val="22"/>
        </w:rPr>
        <w:t>-</w:t>
      </w:r>
      <w:r>
        <w:rPr>
          <w:rFonts w:cs="Aptos"/>
          <w:b/>
          <w:bCs/>
          <w:color w:val="EAB900"/>
          <w:sz w:val="22"/>
          <w:szCs w:val="22"/>
        </w:rPr>
        <w:t xml:space="preserve">  H6 - Millers enzyme inactivation without steam</w:t>
      </w:r>
    </w:p>
    <w:p w14:paraId="194AF577" w14:textId="77777777" w:rsidR="00AD27B4" w:rsidRPr="007F79D9" w:rsidRDefault="00000000">
      <w:pPr>
        <w:pStyle w:val="Title1"/>
        <w:spacing w:after="160"/>
        <w:rPr>
          <w:lang w:val="en-US"/>
        </w:rPr>
      </w:pPr>
      <w:r>
        <w:rPr>
          <w:rFonts w:ascii="GarageGothic-Bold" w:hAnsi="GarageGothic-Bold"/>
          <w:b w:val="0"/>
          <w:lang w:val="en-GB"/>
        </w:rPr>
        <w:t>Tech baseline</w:t>
      </w:r>
    </w:p>
    <w:p w14:paraId="6BB783EF" w14:textId="77777777" w:rsidR="00AD27B4" w:rsidRDefault="00000000">
      <w:pPr>
        <w:keepNext/>
        <w:spacing w:before="200" w:after="30" w:line="264" w:lineRule="auto"/>
        <w:rPr>
          <w:rFonts w:cs="Aptos"/>
          <w:sz w:val="24"/>
        </w:rPr>
      </w:pPr>
      <w:r>
        <w:rPr>
          <w:rFonts w:cs="Aptos"/>
          <w:b/>
          <w:bCs/>
          <w:sz w:val="24"/>
        </w:rPr>
        <w:t>Technologies used in the market</w:t>
      </w:r>
    </w:p>
    <w:p w14:paraId="52961478" w14:textId="77777777" w:rsidR="00AD27B4" w:rsidRDefault="00000000">
      <w:pPr>
        <w:keepNext/>
        <w:spacing w:before="100" w:after="20" w:line="264" w:lineRule="auto"/>
        <w:rPr>
          <w:rFonts w:cs="Aptos"/>
          <w:sz w:val="20"/>
          <w:szCs w:val="20"/>
        </w:rPr>
      </w:pPr>
      <w:r>
        <w:rPr>
          <w:rFonts w:cs="Aptos"/>
          <w:b/>
          <w:bCs/>
          <w:sz w:val="20"/>
          <w:szCs w:val="20"/>
        </w:rPr>
        <w:t>Direct-steam hydrothermal treatment (status quo)</w:t>
      </w:r>
      <w:r w:rsidRPr="00413D03">
        <w:rPr>
          <w:rFonts w:cs="Aptos"/>
          <w:b/>
          <w:bCs/>
          <w:sz w:val="20"/>
          <w:szCs w:val="20"/>
          <w:highlight w:val="yellow"/>
        </w:rPr>
      </w:r>
    </w:p>
    <w:p w14:paraId="629C10D0" w14:textId="77777777" w:rsidR="00AD27B4" w:rsidRDefault="00000000">
      <w:pPr>
        <w:numPr>
          <w:ilvl w:val="0"/>
          <w:numId w:val="1"/>
        </w:numPr>
        <w:spacing w:line="264" w:lineRule="auto"/>
        <w:rPr>
          <w:rFonts w:cs="Aptos"/>
          <w:sz w:val="19"/>
          <w:szCs w:val="19"/>
        </w:rPr>
      </w:pPr>
      <w:r>
        <w:rPr>
          <w:rFonts w:cs="Aptos"/>
          <w:b/>
          <w:bCs/>
          <w:color w:val="374151"/>
          <w:sz w:val="19"/>
          <w:szCs w:val="19"/>
        </w:rPr>
        <w:t>How it works:</w:t>
      </w:r>
      <w:r>
        <w:rPr>
          <w:rFonts w:cs="Aptos"/>
          <w:sz w:val="19"/>
          <w:szCs w:val="19"/>
        </w:rPr>
        <w:t xml:space="preserve"> </w:t>
      </w:r>
      <w:r>
        <w:t>Saturated steam (100-120 C, ~1-3 bar) injected onto bran/germ/grain in a screw conveyor, kiln or vibratory tower, followed by re-drying and cooling. Sold as kilns (Buehler Granotherm, Streckel &amp; Schrader) or continuous stabilizers (Revtech).</w:t>
      </w:r>
    </w:p>
    <w:p w14:paraId="183DF7DF" w14:textId="77777777" w:rsidR="00AD27B4" w:rsidRDefault="00000000">
      <w:pPr>
        <w:numPr>
          <w:ilvl w:val="0"/>
          <w:numId w:val="1"/>
        </w:numPr>
        <w:spacing w:line="264" w:lineRule="auto"/>
        <w:rPr>
          <w:rFonts w:cs="Aptos"/>
          <w:sz w:val="19"/>
          <w:szCs w:val="19"/>
        </w:rPr>
      </w:pPr>
      <w:r>
        <w:rPr>
          <w:rFonts w:cs="Aptos"/>
          <w:b/>
          <w:bCs/>
          <w:color w:val="374151"/>
          <w:sz w:val="19"/>
          <w:szCs w:val="19"/>
        </w:rPr>
        <w:t>How well it performs:</w:t>
      </w:r>
      <w:r>
        <w:rPr>
          <w:rFonts w:cs="Aptos"/>
          <w:sz w:val="19"/>
          <w:szCs w:val="19"/>
        </w:rPr>
        <w:t xml:space="preserve"> </w:t>
      </w:r>
      <w:r>
        <w:t>&gt;95% lipase inactivation with atmospheric steaming, complete peroxidase inactivation; grain steaming 180 s inactivates lipase/peroxidase/xylanase without starch gelatinization; gives 6-18 months shelf life (Glanbia cites 18 months on oat flour).</w:t>
      </w:r>
    </w:p>
    <w:p w14:paraId="1C5AE69A" w14:textId="77777777" w:rsidR="00AD27B4" w:rsidRDefault="00000000">
      <w:pPr>
        <w:numPr>
          <w:ilvl w:val="0"/>
          <w:numId w:val="1"/>
        </w:numPr>
        <w:spacing w:line="264" w:lineRule="auto"/>
        <w:rPr>
          <w:rFonts w:cs="Aptos"/>
          <w:sz w:val="19"/>
          <w:szCs w:val="19"/>
        </w:rPr>
      </w:pPr>
      <w:r>
        <w:rPr>
          <w:rFonts w:cs="Aptos"/>
          <w:b/>
          <w:bCs/>
          <w:color w:val="374151"/>
          <w:sz w:val="19"/>
          <w:szCs w:val="19"/>
        </w:rPr>
        <w:t>Limits:</w:t>
      </w:r>
      <w:r>
        <w:rPr>
          <w:rFonts w:cs="Aptos"/>
          <w:sz w:val="19"/>
          <w:szCs w:val="19"/>
        </w:rPr>
        <w:t xml:space="preserve"> </w:t>
      </w:r>
      <w:r>
        <w:t>Requires boiler, water treatment, steam distribution, condensate handling AND a re-drying step - high capex and floor space; uneconomic for small/medium mills; this is exactly the infrastructure the hypothesis removes.</w:t>
      </w:r>
    </w:p>
    <w:p w14:paraId="52961478" w14:textId="77777777" w:rsidR="00AD27B4" w:rsidRDefault="00000000">
      <w:pPr>
        <w:keepNext/>
        <w:spacing w:before="100" w:after="20" w:line="264" w:lineRule="auto"/>
        <w:rPr>
          <w:rFonts w:cs="Aptos"/>
          <w:sz w:val="20"/>
          <w:szCs w:val="20"/>
        </w:rPr>
      </w:pPr>
      <w:r>
        <w:rPr>
          <w:rFonts w:cs="Aptos"/>
          <w:b/>
          <w:bCs/>
          <w:sz w:val="20"/>
          <w:szCs w:val="20"/>
        </w:rPr>
        <w:t>Dry extrusion / expander cooking</w:t>
      </w:r>
      <w:r w:rsidRPr="00413D03">
        <w:rPr>
          <w:rFonts w:cs="Aptos"/>
          <w:b/>
          <w:bCs/>
          <w:sz w:val="20"/>
          <w:szCs w:val="20"/>
          <w:highlight w:val="yellow"/>
        </w:rPr>
      </w:r>
    </w:p>
    <w:p w14:paraId="629C10D0" w14:textId="77777777" w:rsidR="00AD27B4" w:rsidRDefault="00000000">
      <w:pPr>
        <w:numPr>
          <w:ilvl w:val="0"/>
          <w:numId w:val="1"/>
        </w:numPr>
        <w:spacing w:line="264" w:lineRule="auto"/>
        <w:rPr>
          <w:rFonts w:cs="Aptos"/>
          <w:sz w:val="19"/>
          <w:szCs w:val="19"/>
        </w:rPr>
      </w:pPr>
      <w:r>
        <w:rPr>
          <w:rFonts w:cs="Aptos"/>
          <w:b/>
          <w:bCs/>
          <w:color w:val="374151"/>
          <w:sz w:val="19"/>
          <w:szCs w:val="19"/>
        </w:rPr>
        <w:t>How it works:</w:t>
      </w:r>
      <w:r>
        <w:rPr>
          <w:rFonts w:cs="Aptos"/>
          <w:sz w:val="19"/>
          <w:szCs w:val="19"/>
        </w:rPr>
        <w:t xml:space="preserve"> </w:t>
      </w:r>
      <w:r>
        <w:t>Single-screw extruder uses friction + pressure to hit 120-140 C in seconds, no boiler; dominant method for rice bran stabilization in Asia and oilseeds.</w:t>
      </w:r>
    </w:p>
    <w:p w14:paraId="183DF7DF" w14:textId="77777777" w:rsidR="00AD27B4" w:rsidRDefault="00000000">
      <w:pPr>
        <w:numPr>
          <w:ilvl w:val="0"/>
          <w:numId w:val="1"/>
        </w:numPr>
        <w:spacing w:line="264" w:lineRule="auto"/>
        <w:rPr>
          <w:rFonts w:cs="Aptos"/>
          <w:sz w:val="19"/>
          <w:szCs w:val="19"/>
        </w:rPr>
      </w:pPr>
      <w:r>
        <w:rPr>
          <w:rFonts w:cs="Aptos"/>
          <w:b/>
          <w:bCs/>
          <w:color w:val="374151"/>
          <w:sz w:val="19"/>
          <w:szCs w:val="19"/>
        </w:rPr>
        <w:t>How well it performs:</w:t>
      </w:r>
      <w:r>
        <w:rPr>
          <w:rFonts w:cs="Aptos"/>
          <w:sz w:val="19"/>
          <w:szCs w:val="19"/>
        </w:rPr>
        <w:t xml:space="preserve"> </w:t>
      </w:r>
      <w:r>
        <w:t>Best-in-class enzyme kill: residual lipase and LOX &lt;5% of fresh wheat germ in a 2023 LWT comparison; rice-bran FFA kept low for months; ~400 kg/h low-cost units, specific energy ~0.06-0.07 kWh/kg.</w:t>
      </w:r>
    </w:p>
    <w:p w14:paraId="1C5AE69A" w14:textId="77777777" w:rsidR="00AD27B4" w:rsidRDefault="00000000">
      <w:pPr>
        <w:numPr>
          <w:ilvl w:val="0"/>
          <w:numId w:val="1"/>
        </w:numPr>
        <w:spacing w:line="264" w:lineRule="auto"/>
        <w:rPr>
          <w:rFonts w:cs="Aptos"/>
          <w:sz w:val="19"/>
          <w:szCs w:val="19"/>
        </w:rPr>
      </w:pPr>
      <w:r>
        <w:rPr>
          <w:rFonts w:cs="Aptos"/>
          <w:b/>
          <w:bCs/>
          <w:color w:val="374151"/>
          <w:sz w:val="19"/>
          <w:szCs w:val="19"/>
        </w:rPr>
        <w:t>Limits:</w:t>
      </w:r>
      <w:r>
        <w:rPr>
          <w:rFonts w:cs="Aptos"/>
          <w:sz w:val="19"/>
          <w:szCs w:val="19"/>
        </w:rPr>
        <w:t xml:space="preserve"> </w:t>
      </w:r>
      <w:r>
        <w:t>Severe mechanical treatment changes texture/functionality (fine for feed/oil bran, problematic for premium food-grade germ or functional flour); high screw wear; high shear not always wanted in a flour line.</w:t>
      </w:r>
    </w:p>
    <w:p w14:paraId="52961478" w14:textId="77777777" w:rsidR="00AD27B4" w:rsidRDefault="00000000">
      <w:pPr>
        <w:keepNext/>
        <w:spacing w:before="100" w:after="20" w:line="264" w:lineRule="auto"/>
        <w:rPr>
          <w:rFonts w:cs="Aptos"/>
          <w:sz w:val="20"/>
          <w:szCs w:val="20"/>
        </w:rPr>
      </w:pPr>
      <w:r>
        <w:rPr>
          <w:rFonts w:cs="Aptos"/>
          <w:b/>
          <w:bCs/>
          <w:sz w:val="20"/>
          <w:szCs w:val="20"/>
        </w:rPr>
        <w:t>Dry heat: fluid bed, oven/roasting, infrared</w:t>
      </w:r>
      <w:r w:rsidRPr="00413D03">
        <w:rPr>
          <w:rFonts w:cs="Aptos"/>
          <w:b/>
          <w:bCs/>
          <w:sz w:val="20"/>
          <w:szCs w:val="20"/>
          <w:highlight w:val="yellow"/>
        </w:rPr>
      </w:r>
    </w:p>
    <w:p w14:paraId="629C10D0" w14:textId="77777777" w:rsidR="00AD27B4" w:rsidRDefault="00000000">
      <w:pPr>
        <w:numPr>
          <w:ilvl w:val="0"/>
          <w:numId w:val="1"/>
        </w:numPr>
        <w:spacing w:line="264" w:lineRule="auto"/>
        <w:rPr>
          <w:rFonts w:cs="Aptos"/>
          <w:sz w:val="19"/>
          <w:szCs w:val="19"/>
        </w:rPr>
      </w:pPr>
      <w:r>
        <w:rPr>
          <w:rFonts w:cs="Aptos"/>
          <w:b/>
          <w:bCs/>
          <w:color w:val="374151"/>
          <w:sz w:val="19"/>
          <w:szCs w:val="19"/>
        </w:rPr>
        <w:t>How it works:</w:t>
      </w:r>
      <w:r>
        <w:rPr>
          <w:rFonts w:cs="Aptos"/>
          <w:sz w:val="19"/>
          <w:szCs w:val="19"/>
        </w:rPr>
        <w:t xml:space="preserve"> </w:t>
      </w:r>
      <w:r>
        <w:t>Hot air or IR heats product at 130-160 C for minutes; vibrated fluidized bed (VFB) is the gentlest variant.</w:t>
      </w:r>
    </w:p>
    <w:p w14:paraId="183DF7DF" w14:textId="77777777" w:rsidR="00AD27B4" w:rsidRDefault="00000000">
      <w:pPr>
        <w:numPr>
          <w:ilvl w:val="0"/>
          <w:numId w:val="1"/>
        </w:numPr>
        <w:spacing w:line="264" w:lineRule="auto"/>
        <w:rPr>
          <w:rFonts w:cs="Aptos"/>
          <w:sz w:val="19"/>
          <w:szCs w:val="19"/>
        </w:rPr>
      </w:pPr>
      <w:r>
        <w:rPr>
          <w:rFonts w:cs="Aptos"/>
          <w:b/>
          <w:bCs/>
          <w:color w:val="374151"/>
          <w:sz w:val="19"/>
          <w:szCs w:val="19"/>
        </w:rPr>
        <w:t>How well it performs:</w:t>
      </w:r>
      <w:r>
        <w:rPr>
          <w:rFonts w:cs="Aptos"/>
          <w:sz w:val="19"/>
          <w:szCs w:val="19"/>
        </w:rPr>
        <w:t xml:space="preserve"> </w:t>
      </w:r>
      <w:r>
        <w:t>160 C oven heating ranks second to steaming for LOX inactivation; VFB gave the best lipid stability and tocopherol retention in comparative studies.</w:t>
      </w:r>
    </w:p>
    <w:p w14:paraId="1C5AE69A" w14:textId="77777777" w:rsidR="00AD27B4" w:rsidRDefault="00000000">
      <w:pPr>
        <w:numPr>
          <w:ilvl w:val="0"/>
          <w:numId w:val="1"/>
        </w:numPr>
        <w:spacing w:line="264" w:lineRule="auto"/>
        <w:rPr>
          <w:rFonts w:cs="Aptos"/>
          <w:sz w:val="19"/>
          <w:szCs w:val="19"/>
        </w:rPr>
      </w:pPr>
      <w:r>
        <w:rPr>
          <w:rFonts w:cs="Aptos"/>
          <w:b/>
          <w:bCs/>
          <w:color w:val="374151"/>
          <w:sz w:val="19"/>
          <w:szCs w:val="19"/>
        </w:rPr>
        <w:t>Limits:</w:t>
      </w:r>
      <w:r>
        <w:rPr>
          <w:rFonts w:cs="Aptos"/>
          <w:sz w:val="19"/>
          <w:szCs w:val="19"/>
        </w:rPr>
        <w:t xml:space="preserve"> </w:t>
      </w:r>
      <w:r>
        <w:t>Dry heat transfers poorly into particles - longer residence times and less complete lipase inactivation than moist heat; still needs a heat source and doesn't remove the 'why not just use steam' question unless electrified.</w:t>
      </w:r>
    </w:p>
    <w:p w14:paraId="52961478" w14:textId="77777777" w:rsidR="00AD27B4" w:rsidRDefault="00000000">
      <w:pPr>
        <w:keepNext/>
        <w:spacing w:before="100" w:after="20" w:line="264" w:lineRule="auto"/>
        <w:rPr>
          <w:rFonts w:cs="Aptos"/>
          <w:sz w:val="20"/>
          <w:szCs w:val="20"/>
        </w:rPr>
      </w:pPr>
      <w:r>
        <w:rPr>
          <w:rFonts w:cs="Aptos"/>
          <w:b/>
          <w:bCs/>
          <w:sz w:val="20"/>
          <w:szCs w:val="20"/>
        </w:rPr>
        <w:t>Steam explosion (batch)</w:t>
      </w:r>
      <w:r w:rsidRPr="00413D03">
        <w:rPr>
          <w:rFonts w:cs="Aptos"/>
          <w:b/>
          <w:bCs/>
          <w:sz w:val="20"/>
          <w:szCs w:val="20"/>
          <w:highlight w:val="yellow"/>
        </w:rPr>
      </w:r>
    </w:p>
    <w:p w14:paraId="629C10D0" w14:textId="77777777" w:rsidR="00AD27B4" w:rsidRDefault="00000000">
      <w:pPr>
        <w:numPr>
          <w:ilvl w:val="0"/>
          <w:numId w:val="1"/>
        </w:numPr>
        <w:spacing w:line="264" w:lineRule="auto"/>
        <w:rPr>
          <w:rFonts w:cs="Aptos"/>
          <w:sz w:val="19"/>
          <w:szCs w:val="19"/>
        </w:rPr>
      </w:pPr>
      <w:r>
        <w:rPr>
          <w:rFonts w:cs="Aptos"/>
          <w:b/>
          <w:bCs/>
          <w:color w:val="374151"/>
          <w:sz w:val="19"/>
          <w:szCs w:val="19"/>
        </w:rPr>
        <w:t>How it works:</w:t>
      </w:r>
      <w:r>
        <w:rPr>
          <w:rFonts w:cs="Aptos"/>
          <w:sz w:val="19"/>
          <w:szCs w:val="19"/>
        </w:rPr>
        <w:t xml:space="preserve"> </w:t>
      </w:r>
      <w:r>
        <w:t>Bran rehydrated, pressurized at 0.8 MPa / 170 C for ~5 min, then explosively depressurized.</w:t>
      </w:r>
    </w:p>
    <w:p w14:paraId="183DF7DF" w14:textId="77777777" w:rsidR="00AD27B4" w:rsidRDefault="00000000">
      <w:pPr>
        <w:numPr>
          <w:ilvl w:val="0"/>
          <w:numId w:val="1"/>
        </w:numPr>
        <w:spacing w:line="264" w:lineRule="auto"/>
        <w:rPr>
          <w:rFonts w:cs="Aptos"/>
          <w:sz w:val="19"/>
          <w:szCs w:val="19"/>
        </w:rPr>
      </w:pPr>
      <w:r>
        <w:rPr>
          <w:rFonts w:cs="Aptos"/>
          <w:b/>
          <w:bCs/>
          <w:color w:val="374151"/>
          <w:sz w:val="19"/>
          <w:szCs w:val="19"/>
        </w:rPr>
        <w:t>How well it performs:</w:t>
      </w:r>
      <w:r>
        <w:rPr>
          <w:rFonts w:cs="Aptos"/>
          <w:sz w:val="19"/>
          <w:szCs w:val="19"/>
        </w:rPr>
        <w:t xml:space="preserve"> </w:t>
      </w:r>
      <w:r>
        <w:t>Inactivates lipase and peroxidase fully; improves soluble fibre and antioxidant extraction vs. autoclaving.</w:t>
      </w:r>
    </w:p>
    <w:p w14:paraId="1C5AE69A" w14:textId="77777777" w:rsidR="00AD27B4" w:rsidRDefault="00000000">
      <w:pPr>
        <w:numPr>
          <w:ilvl w:val="0"/>
          <w:numId w:val="1"/>
        </w:numPr>
        <w:spacing w:line="264" w:lineRule="auto"/>
        <w:rPr>
          <w:rFonts w:cs="Aptos"/>
          <w:sz w:val="19"/>
          <w:szCs w:val="19"/>
        </w:rPr>
      </w:pPr>
      <w:r>
        <w:rPr>
          <w:rFonts w:cs="Aptos"/>
          <w:b/>
          <w:bCs/>
          <w:color w:val="374151"/>
          <w:sz w:val="19"/>
          <w:szCs w:val="19"/>
        </w:rPr>
        <w:t>Limits:</w:t>
      </w:r>
      <w:r>
        <w:rPr>
          <w:rFonts w:cs="Aptos"/>
          <w:sz w:val="19"/>
          <w:szCs w:val="19"/>
        </w:rPr>
        <w:t xml:space="preserve"> </w:t>
      </w:r>
      <w:r>
        <w:t>Batch, high-pressure vessel, needs boiler anyway - opposite of the retrofit-electric value proposition.</w:t>
      </w:r>
    </w:p>
    <w:p w14:paraId="52961478" w14:textId="77777777" w:rsidR="00AD27B4" w:rsidRDefault="00000000">
      <w:pPr>
        <w:keepNext/>
        <w:spacing w:before="100" w:after="20" w:line="264" w:lineRule="auto"/>
        <w:rPr>
          <w:rFonts w:cs="Aptos"/>
          <w:sz w:val="20"/>
          <w:szCs w:val="20"/>
        </w:rPr>
      </w:pPr>
      <w:r>
        <w:rPr>
          <w:rFonts w:cs="Aptos"/>
          <w:b/>
          <w:bCs/>
          <w:sz w:val="20"/>
          <w:szCs w:val="20"/>
        </w:rPr>
        <w:t>Continuous microwave (the hypothesis)</w:t>
      </w:r>
      <w:r w:rsidRPr="00413D03">
        <w:rPr>
          <w:rFonts w:cs="Aptos"/>
          <w:b/>
          <w:bCs/>
          <w:sz w:val="20"/>
          <w:szCs w:val="20"/>
          <w:highlight w:val="yellow"/>
        </w:rPr>
      </w:r>
    </w:p>
    <w:p w14:paraId="629C10D0" w14:textId="77777777" w:rsidR="00AD27B4" w:rsidRDefault="00000000">
      <w:pPr>
        <w:numPr>
          <w:ilvl w:val="0"/>
          <w:numId w:val="1"/>
        </w:numPr>
        <w:spacing w:line="264" w:lineRule="auto"/>
        <w:rPr>
          <w:rFonts w:cs="Aptos"/>
          <w:sz w:val="19"/>
          <w:szCs w:val="19"/>
        </w:rPr>
      </w:pPr>
      <w:r>
        <w:rPr>
          <w:rFonts w:cs="Aptos"/>
          <w:b/>
          <w:bCs/>
          <w:color w:val="374151"/>
          <w:sz w:val="19"/>
          <w:szCs w:val="19"/>
        </w:rPr>
        <w:t>How it works:</w:t>
      </w:r>
      <w:r>
        <w:rPr>
          <w:rFonts w:cs="Aptos"/>
          <w:sz w:val="19"/>
          <w:szCs w:val="19"/>
        </w:rPr>
        <w:t xml:space="preserve"> </w:t>
      </w:r>
      <w:r>
        <w:t>2.45 GHz volumetric dielectric heating raises product to 60-100+ C in minutes while simultaneously drying (lower water activity adds microbial and enzymatic stability). Lab/pilot studies on wheat germ and bran exist; continuous tunnel equipment is generic (SAIREM, Pueschner, Chinese OEMs).</w:t>
      </w:r>
    </w:p>
    <w:p w14:paraId="183DF7DF" w14:textId="77777777" w:rsidR="00AD27B4" w:rsidRDefault="00000000">
      <w:pPr>
        <w:numPr>
          <w:ilvl w:val="0"/>
          <w:numId w:val="1"/>
        </w:numPr>
        <w:spacing w:line="264" w:lineRule="auto"/>
        <w:rPr>
          <w:rFonts w:cs="Aptos"/>
          <w:sz w:val="19"/>
          <w:szCs w:val="19"/>
        </w:rPr>
      </w:pPr>
      <w:r>
        <w:rPr>
          <w:rFonts w:cs="Aptos"/>
          <w:b/>
          <w:bCs/>
          <w:color w:val="374151"/>
          <w:sz w:val="19"/>
          <w:szCs w:val="19"/>
        </w:rPr>
        <w:t>How well it performs:</w:t>
      </w:r>
      <w:r>
        <w:rPr>
          <w:rFonts w:cs="Aptos"/>
          <w:sz w:val="19"/>
          <w:szCs w:val="19"/>
        </w:rPr>
        <w:t xml:space="preserve"> </w:t>
      </w:r>
      <w:r>
        <w:t>3-4 kW, ~8 min continuous microwave cut wheat-germ residual lipase to ~14-17% and fully inactivated LOX, with good flavor/color; 60-70 C microwave for 5-20 min inactivated lipase with no color/functionality change; combined steam+microwave achieves complete inactivation.</w:t>
      </w:r>
    </w:p>
    <w:p w14:paraId="1C5AE69A" w14:textId="77777777" w:rsidR="00AD27B4" w:rsidRDefault="00000000">
      <w:pPr>
        <w:numPr>
          <w:ilvl w:val="0"/>
          <w:numId w:val="1"/>
        </w:numPr>
        <w:spacing w:line="264" w:lineRule="auto"/>
        <w:rPr>
          <w:rFonts w:cs="Aptos"/>
          <w:sz w:val="19"/>
          <w:szCs w:val="19"/>
        </w:rPr>
      </w:pPr>
      <w:r>
        <w:rPr>
          <w:rFonts w:cs="Aptos"/>
          <w:b/>
          <w:bCs/>
          <w:color w:val="374151"/>
          <w:sz w:val="19"/>
          <w:szCs w:val="19"/>
        </w:rPr>
        <w:t>Limits:</w:t>
      </w:r>
      <w:r>
        <w:rPr>
          <w:rFonts w:cs="Aptos"/>
          <w:sz w:val="19"/>
          <w:szCs w:val="19"/>
        </w:rPr>
        <w:t xml:space="preserve"> </w:t>
      </w:r>
      <w:r>
        <w:t>Lipase is harder to kill than LOX - microwave alone may stall at ~85% inactivation vs. steam's &gt;95%; low-moisture bran is nearly transparent to microwaves (dielectric constant &lt;1.9) so heating efficiency drops as it dries; uniformity at tonne/h scale and ATEX compliance are unproven industrially.</w:t>
      </w:r>
    </w:p>
    <w:p w14:paraId="52961478" w14:textId="77777777" w:rsidR="00AD27B4" w:rsidRDefault="00000000">
      <w:pPr>
        <w:keepNext/>
        <w:spacing w:before="100" w:after="20" w:line="264" w:lineRule="auto"/>
        <w:rPr>
          <w:rFonts w:cs="Aptos"/>
          <w:sz w:val="20"/>
          <w:szCs w:val="20"/>
        </w:rPr>
      </w:pPr>
      <w:r>
        <w:rPr>
          <w:rFonts w:cs="Aptos"/>
          <w:b/>
          <w:bCs/>
          <w:sz w:val="20"/>
          <w:szCs w:val="20"/>
        </w:rPr>
        <w:t>Ohmic heating (emerging)</w:t>
      </w:r>
      <w:r w:rsidRPr="00413D03">
        <w:rPr>
          <w:rFonts w:cs="Aptos"/>
          <w:b/>
          <w:bCs/>
          <w:sz w:val="20"/>
          <w:szCs w:val="20"/>
          <w:highlight w:val="yellow"/>
        </w:rPr>
      </w:r>
    </w:p>
    <w:p w14:paraId="629C10D0" w14:textId="77777777" w:rsidR="00AD27B4" w:rsidRDefault="00000000">
      <w:pPr>
        <w:numPr>
          <w:ilvl w:val="0"/>
          <w:numId w:val="1"/>
        </w:numPr>
        <w:spacing w:line="264" w:lineRule="auto"/>
        <w:rPr>
          <w:rFonts w:cs="Aptos"/>
          <w:sz w:val="19"/>
          <w:szCs w:val="19"/>
        </w:rPr>
      </w:pPr>
      <w:r>
        <w:rPr>
          <w:rFonts w:cs="Aptos"/>
          <w:b/>
          <w:bCs/>
          <w:color w:val="374151"/>
          <w:sz w:val="19"/>
          <w:szCs w:val="19"/>
        </w:rPr>
        <w:t>How it works:</w:t>
      </w:r>
      <w:r>
        <w:rPr>
          <w:rFonts w:cs="Aptos"/>
          <w:sz w:val="19"/>
          <w:szCs w:val="19"/>
        </w:rPr>
        <w:t xml:space="preserve"> </w:t>
      </w:r>
      <w:r>
        <w:t>Electric current passed through moistened bran heats it volumetrically.</w:t>
      </w:r>
    </w:p>
    <w:p w14:paraId="183DF7DF" w14:textId="77777777" w:rsidR="00AD27B4" w:rsidRDefault="00000000">
      <w:pPr>
        <w:numPr>
          <w:ilvl w:val="0"/>
          <w:numId w:val="1"/>
        </w:numPr>
        <w:spacing w:line="264" w:lineRule="auto"/>
        <w:rPr>
          <w:rFonts w:cs="Aptos"/>
          <w:sz w:val="19"/>
          <w:szCs w:val="19"/>
        </w:rPr>
      </w:pPr>
      <w:r>
        <w:rPr>
          <w:rFonts w:cs="Aptos"/>
          <w:b/>
          <w:bCs/>
          <w:color w:val="374151"/>
          <w:sz w:val="19"/>
          <w:szCs w:val="19"/>
        </w:rPr>
        <w:t>How well it performs:</w:t>
      </w:r>
      <w:r>
        <w:rPr>
          <w:rFonts w:cs="Aptos"/>
          <w:sz w:val="19"/>
          <w:szCs w:val="19"/>
        </w:rPr>
        <w:t xml:space="preserve"> </w:t>
      </w:r>
      <w:r>
        <w:t>10-kg batch kept rice-bran FFA at 4.8% after 75 days vs 41.8% untreated.</w:t>
      </w:r>
    </w:p>
    <w:p w14:paraId="1C5AE69A" w14:textId="77777777" w:rsidR="00AD27B4" w:rsidRDefault="00000000">
      <w:pPr>
        <w:numPr>
          <w:ilvl w:val="0"/>
          <w:numId w:val="1"/>
        </w:numPr>
        <w:spacing w:line="264" w:lineRule="auto"/>
        <w:rPr>
          <w:rFonts w:cs="Aptos"/>
          <w:sz w:val="19"/>
          <w:szCs w:val="19"/>
        </w:rPr>
      </w:pPr>
      <w:r>
        <w:rPr>
          <w:rFonts w:cs="Aptos"/>
          <w:b/>
          <w:bCs/>
          <w:color w:val="374151"/>
          <w:sz w:val="19"/>
          <w:szCs w:val="19"/>
        </w:rPr>
        <w:t>Limits:</w:t>
      </w:r>
      <w:r>
        <w:rPr>
          <w:rFonts w:cs="Aptos"/>
          <w:sz w:val="19"/>
          <w:szCs w:val="19"/>
        </w:rPr>
        <w:t xml:space="preserve"> </w:t>
      </w:r>
      <w:r>
        <w:t>Research stage, needs ~30-40% moisture (re-wetting + re-drying), electrodes contact issues - not industrialized.</w:t>
      </w:r>
    </w:p>
    <w:p w14:paraId="630CD65A" w14:textId="77777777" w:rsidR="00AD27B4" w:rsidRDefault="00000000">
      <w:pPr>
        <w:keepNext/>
        <w:spacing w:before="200" w:after="30" w:line="264" w:lineRule="auto"/>
        <w:rPr>
          <w:rFonts w:cs="Aptos"/>
          <w:sz w:val="24"/>
        </w:rPr>
      </w:pPr>
      <w:r>
        <w:rPr>
          <w:rFonts w:cs="Aptos"/>
          <w:b/>
          <w:bCs/>
          <w:sz w:val="24"/>
        </w:rPr>
        <w:t>Why our solution can be better</w:t>
      </w:r>
    </w:p>
    <w:p w14:paraId="5517931A" w14:textId="77777777" w:rsidR="00AD27B4" w:rsidRDefault="00AD27B4">
      <w:pPr>
        <w:spacing w:line="276" w:lineRule="auto"/>
        <w:rPr>
          <w:rFonts w:cs="Aptos"/>
          <w:sz w:val="20"/>
          <w:szCs w:val="20"/>
        </w:rPr>
      </w:pPr>
      <w:r>
        <w:t>An all-electric microwave inactivation unit removes the boiler, steam distribution, water treatment and separate re-dryer that make steam stabilization uneconomic for the thousands of SME mills - it can slot into an existing bran/germ stream as a compact skid with instant on/off and no combustion permits. Microwave heats volumetrically and dries while it inactivates, so the product leaves shelf-stable in one pass, and electrification aligns with EU decarbonization incentives. The honest catch: microwave alone is proven only at lab/pilot scale, lipase is thermally robust, and dry bran absorbs microwaves poorly - a light steam-assist or pre-humidification may still be needed, partially re-importing the complexity being removed.</w:t>
      </w:r>
    </w:p>
    <w:p w14:paraId="04734216" w14:textId="77777777" w:rsidR="00AD27B4" w:rsidRDefault="00AD27B4">
      <w:pPr>
        <w:spacing w:line="276" w:lineRule="auto"/>
        <w:rPr>
          <w:rFonts w:cs="Aptos"/>
          <w:sz w:val="20"/>
          <w:szCs w:val="20"/>
        </w:rPr>
      </w:pPr>
    </w:p>
    <w:p w14:paraId="54BB0036" w14:textId="77777777" w:rsidR="00AD27B4" w:rsidRDefault="00AD27B4">
      <w:pPr>
        <w:spacing w:line="276" w:lineRule="auto"/>
        <w:rPr>
          <w:rFonts w:cs="Aptos"/>
          <w:sz w:val="20"/>
          <w:szCs w:val="20"/>
        </w:rPr>
      </w:pPr>
    </w:p>
    <w:p w14:paraId="2503F6A1" w14:textId="77777777" w:rsidR="00AD27B4" w:rsidRDefault="00000000">
      <w:pPr>
        <w:keepNext/>
        <w:spacing w:before="80" w:after="10" w:line="264" w:lineRule="auto"/>
        <w:rPr>
          <w:rFonts w:cs="Aptos"/>
          <w:sz w:val="19"/>
          <w:szCs w:val="19"/>
        </w:rPr>
      </w:pPr>
      <w:r>
        <w:rPr>
          <w:rFonts w:cs="Aptos"/>
          <w:b/>
          <w:bCs/>
          <w:color w:val="374151"/>
          <w:sz w:val="19"/>
          <w:szCs w:val="19"/>
        </w:rPr>
        <w:t>Key assumptions</w:t>
      </w:r>
      <w:r>
        <w:rPr>
          <w:rFonts w:cs="Aptos"/>
          <w:i/>
          <w:iCs/>
          <w:color w:val="404040"/>
          <w:sz w:val="16"/>
          <w:szCs w:val="16"/>
          <w:highlight w:val="yellow"/>
        </w:rPr>
        <w:t xml:space="preserve"> </w:t>
      </w:r>
    </w:p>
    <w:p w14:paraId="24193E41" w14:textId="77777777" w:rsidR="00AD27B4" w:rsidRDefault="00AD27B4">
      <w:pPr>
        <w:numPr>
          <w:ilvl w:val="0"/>
          <w:numId w:val="1"/>
        </w:numPr>
        <w:spacing w:line="264" w:lineRule="auto"/>
        <w:rPr>
          <w:rFonts w:cs="Aptos"/>
          <w:sz w:val="19"/>
          <w:szCs w:val="19"/>
        </w:rPr>
      </w:pPr>
      <w:r>
        <w:t>• Global flour output ~285-450 Mt/yr; whole-grain and stabilized bran/germ streams addressable maybe 5-15% of that (assumed)</w:t>
      </w:r>
    </w:p>
    <w:p w14:paraId="2503F6A1" w14:textId="77777777" w:rsidR="00AD27B4" w:rsidRDefault="00000000">
      <w:pPr>
        <w:keepNext/>
        <w:spacing w:before="80" w:after="10" w:line="264" w:lineRule="auto"/>
        <w:rPr>
          <w:rFonts w:cs="Aptos"/>
          <w:sz w:val="19"/>
          <w:szCs w:val="19"/>
        </w:rPr>
      </w:pPr>
      <w:r>
        <w:t>• Bran is ~20-25% and germ ~2-3% of wheat mass at milling; stabilization applies mainly to these fractions plus oat groats and rice bran (measured)</w:t>
      </w:r>
    </w:p>
    <w:p w14:paraId="2503F6A1" w14:textId="77777777" w:rsidR="00AD27B4" w:rsidRDefault="00000000">
      <w:pPr>
        <w:keepNext/>
        <w:spacing w:before="80" w:after="10" w:line="264" w:lineRule="auto"/>
        <w:rPr>
          <w:rFonts w:cs="Aptos"/>
          <w:sz w:val="19"/>
          <w:szCs w:val="19"/>
        </w:rPr>
      </w:pPr>
      <w:r>
        <w:t>• Steam stabilization line capex (boiler + kiln + dryer) is in the high six to seven figures EUR and only pays at large-mill throughputs &gt;1-2 t/h (assumed)</w:t>
      </w:r>
    </w:p>
    <w:p w14:paraId="2503F6A1" w14:textId="77777777" w:rsidR="00AD27B4" w:rsidRDefault="00000000">
      <w:pPr>
        <w:keepNext/>
        <w:spacing w:before="80" w:after="10" w:line="264" w:lineRule="auto"/>
        <w:rPr>
          <w:rFonts w:cs="Aptos"/>
          <w:sz w:val="19"/>
          <w:szCs w:val="19"/>
        </w:rPr>
      </w:pPr>
      <w:r>
        <w:t>• Microwave wall-to-product efficiency ~50-60%; industrial electricity ~0.10-0.15 EUR/kWh vs gas ~0.03-0.05 EUR/kWh in EU - OPEX parity needs higher energy efficiency or smaller treated mass (assumed)</w:t>
      </w:r>
    </w:p>
    <w:p w14:paraId="2503F6A1" w14:textId="77777777" w:rsidR="00AD27B4" w:rsidRDefault="00000000">
      <w:pPr>
        <w:keepNext/>
        <w:spacing w:before="80" w:after="10" w:line="264" w:lineRule="auto"/>
        <w:rPr>
          <w:rFonts w:cs="Aptos"/>
          <w:sz w:val="19"/>
          <w:szCs w:val="19"/>
        </w:rPr>
      </w:pPr>
      <w:r>
        <w:t>• Target spec: &gt;=90% lipase inactivation and full LOX/peroxidase kill at 0.5-2 t/h continuous, product exit moisture &lt;=12%, ATEX Zone 21/22-compliant execution (assumed)</w:t>
      </w:r>
    </w:p>
    <w:p w14:paraId="77760D31" w14:textId="77777777" w:rsidR="00AD27B4" w:rsidRDefault="00AD27B4">
      <w:pPr>
        <w:numPr>
          <w:ilvl w:val="0"/>
          <w:numId w:val="1"/>
        </w:numPr>
        <w:spacing w:line="264" w:lineRule="auto"/>
        <w:rPr>
          <w:rFonts w:cs="Aptos"/>
          <w:sz w:val="19"/>
          <w:szCs w:val="19"/>
        </w:rPr>
      </w:pPr>
    </w:p>
    <w:p w14:paraId="06E4F8E1" w14:textId="77777777" w:rsidR="00AD27B4" w:rsidRDefault="00AD27B4">
      <w:pPr>
        <w:numPr>
          <w:ilvl w:val="0"/>
          <w:numId w:val="1"/>
        </w:numPr>
        <w:spacing w:line="264" w:lineRule="auto"/>
        <w:rPr>
          <w:rFonts w:cs="Aptos"/>
          <w:sz w:val="19"/>
          <w:szCs w:val="19"/>
        </w:rPr>
      </w:pPr>
    </w:p>
    <w:p w14:paraId="192C8EC1" w14:textId="77777777" w:rsidR="00AD27B4" w:rsidRDefault="00AD27B4">
      <w:pPr>
        <w:keepNext/>
        <w:spacing w:before="240" w:line="264" w:lineRule="auto"/>
        <w:rPr>
          <w:rFonts w:cs="Aptos"/>
          <w:sz w:val="16"/>
          <w:szCs w:val="16"/>
        </w:rPr>
      </w:pPr>
    </w:p>
    <w:tbl>
      <w:tblPr>
        <w:tblW w:w="9072" w:type="dxa"/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760"/>
        <w:gridCol w:w="740"/>
        <w:gridCol w:w="1236"/>
        <w:gridCol w:w="640"/>
        <w:gridCol w:w="648"/>
        <w:gridCol w:w="512"/>
        <w:gridCol w:w="760"/>
        <w:gridCol w:w="1252"/>
        <w:gridCol w:w="724"/>
        <w:gridCol w:w="640"/>
        <w:gridCol w:w="1160"/>
      </w:tblGrid>
      <w:tr w:rsidR="00AD27B4" w14:paraId="460BE138" w14:textId="77777777">
        <w:trPr>
          <w:cantSplit/>
          <w:trHeight w:hRule="exact" w:val="300"/>
        </w:trPr>
        <w:tc>
          <w:tcPr>
            <w:tcW w:w="9072" w:type="dxa"/>
            <w:gridSpan w:val="11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vAlign w:val="center"/>
          </w:tcPr>
          <w:p w14:paraId="5D6D52BC" w14:textId="77777777" w:rsidR="00AD27B4" w:rsidRDefault="00000000">
            <w:pPr>
              <w:keepNext/>
              <w:keepLines/>
              <w:rPr>
                <w:rFonts w:cs="Aptos"/>
                <w:sz w:val="16"/>
                <w:szCs w:val="16"/>
              </w:rPr>
            </w:pPr>
            <w:r>
              <w:rPr>
                <w:rFonts w:cs="Aptos"/>
                <w:b/>
                <w:bCs/>
                <w:color w:val="4B5563"/>
                <w:sz w:val="16"/>
                <w:szCs w:val="16"/>
              </w:rPr>
              <w:t>Personal input</w:t>
            </w:r>
          </w:p>
        </w:tc>
      </w:tr>
      <w:tr w:rsidR="00AD27B4" w14:paraId="2BFADA29" w14:textId="77777777">
        <w:trPr>
          <w:cantSplit/>
          <w:trHeight w:hRule="exact" w:val="300"/>
        </w:trPr>
        <w:tc>
          <w:tcPr>
            <w:tcW w:w="7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vAlign w:val="center"/>
          </w:tcPr>
          <w:p w14:paraId="50CC02E6" w14:textId="77777777" w:rsidR="00AD27B4" w:rsidRDefault="00000000">
            <w:pPr>
              <w:keepNext/>
              <w:keepLines/>
              <w:rPr>
                <w:rFonts w:cs="Aptos"/>
                <w:sz w:val="16"/>
                <w:szCs w:val="16"/>
              </w:rPr>
            </w:pPr>
            <w:r>
              <w:rPr>
                <w:rFonts w:cs="Aptos"/>
                <w:color w:val="4B5563"/>
                <w:sz w:val="16"/>
                <w:szCs w:val="16"/>
              </w:rPr>
              <w:t>Name</w:t>
            </w:r>
          </w:p>
        </w:tc>
        <w:tc>
          <w:tcPr>
            <w:tcW w:w="1976" w:type="dxa"/>
            <w:gridSpan w:val="2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vAlign w:val="center"/>
          </w:tcPr>
          <w:p>
            <w:r>
              <w:t>Devin (agent draft)</w:t>
            </w:r>
          </w:p>
        </w:tc>
        <w:tc>
          <w:tcPr>
            <w:tcW w:w="64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vAlign w:val="center"/>
          </w:tcPr>
          <w:p w14:paraId="0FD41285" w14:textId="77777777" w:rsidR="00AD27B4" w:rsidRDefault="00000000">
            <w:pPr>
              <w:keepNext/>
              <w:keepLines/>
              <w:rPr>
                <w:rFonts w:cs="Aptos"/>
                <w:sz w:val="16"/>
                <w:szCs w:val="16"/>
              </w:rPr>
            </w:pPr>
            <w:r>
              <w:rPr>
                <w:rFonts w:cs="Aptos"/>
                <w:color w:val="4B5563"/>
                <w:sz w:val="16"/>
                <w:szCs w:val="16"/>
              </w:rPr>
              <w:t>Date</w:t>
            </w:r>
          </w:p>
        </w:tc>
        <w:tc>
          <w:tcPr>
            <w:tcW w:w="1160" w:type="dxa"/>
            <w:gridSpan w:val="2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vAlign w:val="center"/>
          </w:tcPr>
          <w:p>
            <w:r>
              <w:t>2026-10-30</w:t>
            </w:r>
          </w:p>
        </w:tc>
        <w:tc>
          <w:tcPr>
            <w:tcW w:w="7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vAlign w:val="center"/>
          </w:tcPr>
          <w:p w14:paraId="3902F014" w14:textId="77777777" w:rsidR="00AD27B4" w:rsidRDefault="00000000">
            <w:pPr>
              <w:keepNext/>
              <w:keepLines/>
              <w:rPr>
                <w:rFonts w:cs="Aptos"/>
                <w:sz w:val="16"/>
                <w:szCs w:val="16"/>
              </w:rPr>
            </w:pPr>
            <w:r>
              <w:rPr>
                <w:rFonts w:cs="Aptos"/>
                <w:color w:val="4B5563"/>
                <w:sz w:val="16"/>
                <w:szCs w:val="16"/>
              </w:rPr>
              <w:t>Name</w:t>
            </w:r>
          </w:p>
        </w:tc>
        <w:tc>
          <w:tcPr>
            <w:tcW w:w="1976" w:type="dxa"/>
            <w:gridSpan w:val="2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vAlign w:val="center"/>
          </w:tcPr>
          <w:p w14:paraId="40C0EEE1" w14:textId="77777777" w:rsidR="00AD27B4" w:rsidRDefault="00AD27B4">
            <w:pPr>
              <w:keepNext/>
              <w:keepLines/>
              <w:rPr>
                <w:rFonts w:cs="Aptos"/>
                <w:sz w:val="16"/>
                <w:szCs w:val="16"/>
              </w:rPr>
            </w:pPr>
          </w:p>
        </w:tc>
        <w:tc>
          <w:tcPr>
            <w:tcW w:w="64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vAlign w:val="center"/>
          </w:tcPr>
          <w:p w14:paraId="44990FBF" w14:textId="77777777" w:rsidR="00AD27B4" w:rsidRDefault="00000000">
            <w:pPr>
              <w:keepNext/>
              <w:keepLines/>
              <w:rPr>
                <w:rFonts w:cs="Aptos"/>
                <w:sz w:val="16"/>
                <w:szCs w:val="16"/>
              </w:rPr>
            </w:pPr>
            <w:r>
              <w:rPr>
                <w:rFonts w:cs="Aptos"/>
                <w:color w:val="4B5563"/>
                <w:sz w:val="16"/>
                <w:szCs w:val="16"/>
              </w:rPr>
              <w:t>Date</w:t>
            </w:r>
          </w:p>
        </w:tc>
        <w:tc>
          <w:tcPr>
            <w:tcW w:w="1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vAlign w:val="center"/>
          </w:tcPr>
          <w:p w14:paraId="3EFDDC57" w14:textId="77777777" w:rsidR="00AD27B4" w:rsidRDefault="00AD27B4">
            <w:pPr>
              <w:keepNext/>
              <w:keepLines/>
              <w:rPr>
                <w:rFonts w:cs="Aptos"/>
                <w:sz w:val="16"/>
                <w:szCs w:val="16"/>
              </w:rPr>
            </w:pPr>
          </w:p>
        </w:tc>
      </w:tr>
      <w:tr w:rsidR="00AD27B4" w14:paraId="4EBB25D2" w14:textId="77777777">
        <w:trPr>
          <w:cantSplit/>
          <w:trHeight w:hRule="exact" w:val="760"/>
        </w:trPr>
        <w:tc>
          <w:tcPr>
            <w:tcW w:w="4536" w:type="dxa"/>
            <w:gridSpan w:val="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</w:tcPr>
          <w:p w14:paraId="51902797" w14:textId="77777777" w:rsidR="00AD27B4" w:rsidRDefault="00AD27B4">
            <w:pPr>
              <w:keepNext/>
              <w:keepLines/>
              <w:rPr>
                <w:rFonts w:cs="Aptos"/>
                <w:sz w:val="16"/>
                <w:szCs w:val="16"/>
              </w:rPr>
            </w:pPr>
          </w:p>
        </w:tc>
        <w:tc>
          <w:tcPr>
            <w:tcW w:w="4536" w:type="dxa"/>
            <w:gridSpan w:val="5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</w:tcPr>
          <w:p w14:paraId="224BBDC0" w14:textId="77777777" w:rsidR="00AD27B4" w:rsidRDefault="00AD27B4">
            <w:pPr>
              <w:keepNext/>
              <w:keepLines/>
              <w:rPr>
                <w:rFonts w:cs="Aptos"/>
                <w:sz w:val="16"/>
                <w:szCs w:val="16"/>
              </w:rPr>
            </w:pPr>
          </w:p>
        </w:tc>
      </w:tr>
      <w:tr w:rsidR="00AD27B4" w14:paraId="2781192B" w14:textId="77777777">
        <w:trPr>
          <w:cantSplit/>
          <w:trHeight w:hRule="exact" w:val="140"/>
        </w:trPr>
        <w:tc>
          <w:tcPr>
            <w:tcW w:w="9072" w:type="dxa"/>
            <w:gridSpan w:val="11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CA6D688" w14:textId="77777777" w:rsidR="00AD27B4" w:rsidRDefault="00AD27B4">
            <w:pPr>
              <w:keepNext/>
              <w:keepLines/>
              <w:rPr>
                <w:rFonts w:cs="Aptos"/>
                <w:sz w:val="16"/>
                <w:szCs w:val="16"/>
              </w:rPr>
            </w:pPr>
          </w:p>
        </w:tc>
      </w:tr>
      <w:tr w:rsidR="00AD27B4" w14:paraId="0F6B25D8" w14:textId="77777777">
        <w:trPr>
          <w:cantSplit/>
          <w:trHeight w:hRule="exact" w:val="420"/>
        </w:trPr>
        <w:tc>
          <w:tcPr>
            <w:tcW w:w="1500" w:type="dxa"/>
            <w:gridSpan w:val="2"/>
            <w:tcBorders>
              <w:top w:val="single" w:sz="6" w:space="0" w:color="6B7280"/>
              <w:left w:val="single" w:sz="6" w:space="0" w:color="6B7280"/>
              <w:bottom w:val="single" w:sz="6" w:space="0" w:color="6B7280"/>
              <w:right w:val="single" w:sz="6" w:space="0" w:color="6B7280"/>
            </w:tcBorders>
            <w:shd w:val="clear" w:color="auto" w:fill="E5E7EB"/>
            <w:vAlign w:val="center"/>
          </w:tcPr>
          <w:p w14:paraId="1EAF408B" w14:textId="77777777" w:rsidR="00AD27B4" w:rsidRDefault="00000000">
            <w:pPr>
              <w:keepNext/>
              <w:keepLines/>
              <w:jc w:val="center"/>
              <w:rPr>
                <w:rFonts w:cs="Aptos"/>
                <w:sz w:val="16"/>
                <w:szCs w:val="16"/>
              </w:rPr>
            </w:pPr>
            <w:r>
              <w:rPr>
                <w:rFonts w:cs="Aptos"/>
                <w:b/>
                <w:bCs/>
                <w:sz w:val="20"/>
                <w:szCs w:val="20"/>
              </w:rPr>
              <w:t>Decision</w:t>
            </w:r>
          </w:p>
        </w:tc>
        <w:tc>
          <w:tcPr>
            <w:tcW w:w="2524" w:type="dxa"/>
            <w:gridSpan w:val="3"/>
            <w:tcBorders>
              <w:top w:val="single" w:sz="6" w:space="0" w:color="6B7280"/>
              <w:left w:val="single" w:sz="6" w:space="0" w:color="6B7280"/>
              <w:bottom w:val="single" w:sz="6" w:space="0" w:color="6B7280"/>
              <w:right w:val="single" w:sz="6" w:space="0" w:color="6B7280"/>
            </w:tcBorders>
            <w:vAlign w:val="center"/>
          </w:tcPr>
          <w:p w14:paraId="444BD7A2" w14:textId="77777777" w:rsidR="00AD27B4" w:rsidRDefault="00000000">
            <w:pPr>
              <w:keepNext/>
              <w:keepLines/>
              <w:jc w:val="center"/>
              <w:rPr>
                <w:rFonts w:cs="Aptos"/>
                <w:sz w:val="16"/>
                <w:szCs w:val="16"/>
              </w:rPr>
            </w:pPr>
            <w:sdt>
              <w:sdtPr>
                <w:rPr>
                  <w:rFonts w:ascii="MS Gothic" w:eastAsia="MS Gothic" w:hAnsi="MS Gothic"/>
                  <w:sz w:val="22"/>
                </w:rPr>
                <w:id w:val="-1296835695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2"/>
                  </w:rPr>
                  <w:t>☒</w:t>
                </w:r>
              </w:sdtContent>
            </w:sdt>
            <w:r>
              <w:rPr>
                <w:rFonts w:cs="Aptos"/>
                <w:sz w:val="19"/>
                <w:szCs w:val="19"/>
              </w:rPr>
              <w:t xml:space="preserve">  Go to next step</w:t>
            </w:r>
          </w:p>
        </w:tc>
        <w:tc>
          <w:tcPr>
            <w:tcW w:w="2524" w:type="dxa"/>
            <w:gridSpan w:val="3"/>
            <w:tcBorders>
              <w:top w:val="single" w:sz="6" w:space="0" w:color="6B7280"/>
              <w:left w:val="single" w:sz="6" w:space="0" w:color="6B7280"/>
              <w:bottom w:val="single" w:sz="6" w:space="0" w:color="6B7280"/>
              <w:right w:val="single" w:sz="6" w:space="0" w:color="6B7280"/>
            </w:tcBorders>
            <w:vAlign w:val="center"/>
          </w:tcPr>
          <w:p w14:paraId="2C9C321A" w14:textId="77777777" w:rsidR="00AD27B4" w:rsidRDefault="00000000">
            <w:pPr>
              <w:keepNext/>
              <w:keepLines/>
              <w:jc w:val="center"/>
              <w:rPr>
                <w:rFonts w:cs="Aptos"/>
                <w:sz w:val="16"/>
                <w:szCs w:val="16"/>
              </w:rPr>
            </w:pPr>
            <w:sdt>
              <w:sdtPr>
                <w:rPr>
                  <w:rFonts w:ascii="MS Gothic" w:eastAsia="MS Gothic" w:hAnsi="MS Gothic"/>
                  <w:sz w:val="22"/>
                </w:rPr>
                <w:id w:val="-145717218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2"/>
                  </w:rPr>
                  <w:t>☐</w:t>
                </w:r>
              </w:sdtContent>
            </w:sdt>
            <w:r>
              <w:rPr>
                <w:rFonts w:cs="Aptos"/>
                <w:sz w:val="19"/>
                <w:szCs w:val="19"/>
              </w:rPr>
              <w:t xml:space="preserve">  Rework</w:t>
            </w:r>
          </w:p>
        </w:tc>
        <w:tc>
          <w:tcPr>
            <w:tcW w:w="2524" w:type="dxa"/>
            <w:gridSpan w:val="3"/>
            <w:tcBorders>
              <w:top w:val="single" w:sz="6" w:space="0" w:color="6B7280"/>
              <w:left w:val="single" w:sz="6" w:space="0" w:color="6B7280"/>
              <w:bottom w:val="single" w:sz="6" w:space="0" w:color="6B7280"/>
              <w:right w:val="single" w:sz="6" w:space="0" w:color="6B7280"/>
            </w:tcBorders>
            <w:vAlign w:val="center"/>
          </w:tcPr>
          <w:p w14:paraId="7F3AD786" w14:textId="77777777" w:rsidR="00AD27B4" w:rsidRDefault="00000000">
            <w:pPr>
              <w:keepNext/>
              <w:keepLines/>
              <w:jc w:val="center"/>
              <w:rPr>
                <w:rFonts w:cs="Aptos"/>
                <w:sz w:val="16"/>
                <w:szCs w:val="16"/>
              </w:rPr>
            </w:pPr>
            <w:sdt>
              <w:sdtPr>
                <w:rPr>
                  <w:rFonts w:ascii="MS Gothic" w:eastAsia="MS Gothic" w:hAnsi="MS Gothic"/>
                  <w:sz w:val="22"/>
                </w:rPr>
                <w:id w:val="-60589207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2"/>
                  </w:rPr>
                  <w:t>☐</w:t>
                </w:r>
              </w:sdtContent>
            </w:sdt>
            <w:r>
              <w:rPr>
                <w:rFonts w:cs="Aptos"/>
                <w:sz w:val="19"/>
                <w:szCs w:val="19"/>
              </w:rPr>
              <w:t xml:space="preserve">  Drop the hypothesis</w:t>
            </w:r>
          </w:p>
        </w:tc>
      </w:tr>
    </w:tbl>
    <w:p w14:paraId="1C97942E" w14:textId="77777777" w:rsidR="00AD27B4" w:rsidRDefault="00AD27B4">
      <w:pPr>
        <w:spacing w:line="264" w:lineRule="auto"/>
        <w:rPr>
          <w:rFonts w:cs="Aptos"/>
          <w:sz w:val="4"/>
          <w:szCs w:val="4"/>
        </w:rPr>
      </w:pPr>
    </w:p>
    <w:sectPr w:rsidR="00AD27B4" w:rsidSect="001564B6">
      <w:headerReference w:type="default" r:id="rId10"/>
      <w:footerReference w:type="default" r:id="rId11"/>
      <w:pgSz w:w="11906" w:h="16838"/>
      <w:pgMar w:top="1417" w:right="1417" w:bottom="1134" w:left="1417" w:header="283" w:footer="56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4D43E4A" w14:textId="77777777" w:rsidR="008C4616" w:rsidRDefault="008C4616" w:rsidP="001564B6">
      <w:r>
        <w:separator/>
      </w:r>
    </w:p>
  </w:endnote>
  <w:endnote w:type="continuationSeparator" w:id="0">
    <w:p w14:paraId="2240E236" w14:textId="77777777" w:rsidR="008C4616" w:rsidRDefault="008C4616" w:rsidP="001564B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arage Gothic">
    <w:panose1 w:val="00000000000000000000"/>
    <w:charset w:val="00"/>
    <w:family w:val="modern"/>
    <w:notTrueType/>
    <w:pitch w:val="variable"/>
    <w:sig w:usb0="A00000AF" w:usb1="50002048" w:usb2="00000000" w:usb3="00000000" w:csb0="00000111" w:csb1="00000000"/>
  </w:font>
  <w:font w:name="GarageGothic-Bold">
    <w:panose1 w:val="02000508030000020003"/>
    <w:charset w:val="00"/>
    <w:family w:val="modern"/>
    <w:notTrueType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5E5BD" w14:textId="77777777" w:rsidR="00AD27B4" w:rsidRDefault="00000000">
    <w:pPr>
      <w:pStyle w:val="Footer"/>
      <w:pBdr>
        <w:top w:val="single" w:sz="4" w:space="6" w:color="D1D5DB"/>
      </w:pBdr>
      <w:tabs>
        <w:tab w:val="clear" w:pos="4536"/>
      </w:tabs>
      <w:rPr>
        <w:color w:val="374151"/>
        <w:sz w:val="18"/>
      </w:rPr>
    </w:pPr>
    <w:r>
      <w:rPr>
        <w:color w:val="374151"/>
        <w:sz w:val="18"/>
      </w:rPr>
      <w:t>Confidential</w:t>
    </w:r>
    <w:r>
      <w:rPr>
        <w:color w:val="374151"/>
        <w:sz w:val="18"/>
      </w:rPr>
      <w:tab/>
      <w:t xml:space="preserve">Page </w:t>
    </w:r>
    <w:r>
      <w:rPr>
        <w:color w:val="374151"/>
        <w:sz w:val="18"/>
      </w:rPr>
      <w:fldChar w:fldCharType="begin"/>
    </w:r>
    <w:r>
      <w:rPr>
        <w:color w:val="374151"/>
        <w:sz w:val="18"/>
      </w:rPr>
      <w:instrText xml:space="preserve"> PAGE </w:instrText>
    </w:r>
    <w:r>
      <w:rPr>
        <w:color w:val="374151"/>
        <w:sz w:val="18"/>
      </w:rPr>
      <w:fldChar w:fldCharType="separate"/>
    </w:r>
    <w:r>
      <w:rPr>
        <w:color w:val="374151"/>
        <w:sz w:val="18"/>
      </w:rPr>
      <w:t>1</w:t>
    </w:r>
    <w:r>
      <w:rPr>
        <w:color w:val="374151"/>
        <w:sz w:val="18"/>
      </w:rPr>
      <w:fldChar w:fldCharType="end"/>
    </w:r>
    <w:r>
      <w:rPr>
        <w:color w:val="374151"/>
        <w:sz w:val="18"/>
      </w:rPr>
      <w:t xml:space="preserve"> of </w:t>
    </w:r>
    <w:r>
      <w:rPr>
        <w:color w:val="374151"/>
        <w:sz w:val="18"/>
      </w:rPr>
      <w:fldChar w:fldCharType="begin"/>
    </w:r>
    <w:r>
      <w:rPr>
        <w:color w:val="374151"/>
        <w:sz w:val="18"/>
      </w:rPr>
      <w:instrText xml:space="preserve"> NUMPAGES </w:instrText>
    </w:r>
    <w:r>
      <w:rPr>
        <w:color w:val="374151"/>
        <w:sz w:val="18"/>
      </w:rPr>
      <w:fldChar w:fldCharType="separate"/>
    </w:r>
    <w:r>
      <w:rPr>
        <w:color w:val="374151"/>
        <w:sz w:val="18"/>
      </w:rPr>
      <w:t>1</w:t>
    </w:r>
    <w:r>
      <w:rPr>
        <w:color w:val="374151"/>
        <w:sz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DBD4B7" w14:textId="77777777" w:rsidR="008C4616" w:rsidRDefault="008C4616" w:rsidP="001564B6">
      <w:r>
        <w:separator/>
      </w:r>
    </w:p>
  </w:footnote>
  <w:footnote w:type="continuationSeparator" w:id="0">
    <w:p w14:paraId="79B972C8" w14:textId="77777777" w:rsidR="008C4616" w:rsidRDefault="008C4616" w:rsidP="001564B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C1F73F" w14:textId="77777777" w:rsidR="001564B6" w:rsidRPr="001564B6" w:rsidRDefault="00700C67">
    <w:pPr>
      <w:pStyle w:val="Header"/>
      <w:rPr>
        <w:rFonts w:ascii="Garage Gothic" w:hAnsi="Garage Gothic"/>
        <w:szCs w:val="28"/>
      </w:rPr>
    </w:pPr>
    <w:r>
      <w:rPr>
        <w:rFonts w:cs="Aptos"/>
        <w:color w:val="4B5563"/>
        <w:sz w:val="18"/>
        <w:szCs w:val="18"/>
      </w:rPr>
      <w:t xml:space="preserve">Written </w:t>
    </w:r>
    <w:proofErr w:type="gramStart"/>
    <w:r>
      <w:rPr>
        <w:rFonts w:cs="Aptos"/>
        <w:color w:val="4B5563"/>
        <w:sz w:val="18"/>
        <w:szCs w:val="18"/>
      </w:rPr>
      <w:t xml:space="preserve">by  </w:t>
    </w:r>
    <w:r>
      <w:rPr>
        <w:rFonts w:cs="Aptos"/>
        <w:color w:val="1F2937"/>
        <w:sz w:val="18"/>
        <w:szCs w:val="18"/>
      </w:rPr>
      <w:t>[Name]</w:t>
    </w:r>
    <w:r>
      <w:rPr>
        <w:rFonts w:cs="Aptos"/>
        <w:color w:val="4B5563"/>
        <w:sz w:val="18"/>
        <w:szCs w:val="18"/>
      </w:rPr>
      <w:t xml:space="preserve">   </w:t>
    </w:r>
    <w:proofErr w:type="gramEnd"/>
    <w:r>
      <w:rPr>
        <w:rFonts w:cs="Aptos"/>
        <w:color w:val="4B5563"/>
        <w:sz w:val="18"/>
        <w:szCs w:val="18"/>
      </w:rPr>
      <w:t xml:space="preserve">  </w:t>
    </w:r>
    <w:proofErr w:type="gramStart"/>
    <w:r>
      <w:rPr>
        <w:rFonts w:cs="Aptos"/>
        <w:color w:val="4B5563"/>
        <w:sz w:val="18"/>
        <w:szCs w:val="18"/>
      </w:rPr>
      <w:t xml:space="preserve">Date  </w:t>
    </w:r>
    <w:r>
      <w:rPr>
        <w:rFonts w:cs="Aptos"/>
        <w:color w:val="1F2937"/>
        <w:sz w:val="18"/>
        <w:szCs w:val="18"/>
      </w:rPr>
      <w:t>[</w:t>
    </w:r>
    <w:proofErr w:type="spellStart"/>
    <w:r>
      <w:rPr>
        <w:rFonts w:cs="Aptos"/>
        <w:color w:val="1F2937"/>
        <w:sz w:val="18"/>
        <w:szCs w:val="18"/>
      </w:rPr>
      <w:t>dd.mm.yyyy</w:t>
    </w:r>
    <w:proofErr w:type="spellEnd"/>
    <w:proofErr w:type="gramEnd"/>
    <w:r>
      <w:rPr>
        <w:rFonts w:cs="Aptos"/>
        <w:color w:val="1F2937"/>
        <w:sz w:val="18"/>
        <w:szCs w:val="18"/>
      </w:rPr>
      <w:t>]</w:t>
    </w:r>
    <w:r w:rsidR="001564B6" w:rsidRPr="001564B6">
      <w:rPr>
        <w:rFonts w:ascii="Garage Gothic" w:hAnsi="Garage Gothic"/>
        <w:szCs w:val="28"/>
        <w:lang w:val="fr-CH"/>
      </w:rPr>
      <w:ptab w:relativeTo="margin" w:alignment="center" w:leader="none"/>
    </w:r>
    <w:r w:rsidR="001564B6" w:rsidRPr="001564B6">
      <w:rPr>
        <w:rFonts w:ascii="Garage Gothic" w:hAnsi="Garage Gothic"/>
        <w:szCs w:val="28"/>
        <w:lang w:val="fr-CH"/>
      </w:rPr>
      <w:ptab w:relativeTo="margin" w:alignment="right" w:leader="none"/>
    </w:r>
    <w:r w:rsidR="001564B6">
      <w:rPr>
        <w:rFonts w:ascii="Garage Gothic" w:hAnsi="Garage Gothic"/>
        <w:noProof/>
        <w:szCs w:val="28"/>
        <w:lang w:val="fr-CH"/>
      </w:rPr>
      <w:drawing>
        <wp:inline distT="0" distB="0" distL="0" distR="0" wp14:anchorId="4110BC2A" wp14:editId="3A0F77D7">
          <wp:extent cx="1355059" cy="331893"/>
          <wp:effectExtent l="0" t="0" r="7620" b="2540"/>
          <wp:docPr id="270241058" name="Picture 270241058" descr="A close-up of a logo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2" descr="A close-up of a logo&#10;&#10;Description automatically generated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458155" cy="357144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3622F3"/>
    <w:multiLevelType w:val="singleLevel"/>
    <w:tmpl w:val="F7A41088"/>
    <w:lvl w:ilvl="0">
      <w:start w:val="1"/>
      <w:numFmt w:val="bullet"/>
      <w:lvlText w:val="•"/>
      <w:lvlJc w:val="left"/>
      <w:pPr>
        <w:ind w:left="360" w:hanging="220"/>
      </w:pPr>
      <w:rPr>
        <w:rFonts w:ascii="Aptos" w:hAnsi="Aptos"/>
        <w:color w:val="6B7280"/>
      </w:rPr>
    </w:lvl>
  </w:abstractNum>
  <w:num w:numId="1" w16cid:durableId="92426119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7932"/>
    <w:rsid w:val="00002E1F"/>
    <w:rsid w:val="001269B9"/>
    <w:rsid w:val="001564B6"/>
    <w:rsid w:val="001A5B46"/>
    <w:rsid w:val="001A7E76"/>
    <w:rsid w:val="001E41E1"/>
    <w:rsid w:val="00343D98"/>
    <w:rsid w:val="003A7932"/>
    <w:rsid w:val="00413D03"/>
    <w:rsid w:val="004719E8"/>
    <w:rsid w:val="005D0A9D"/>
    <w:rsid w:val="005D0FC5"/>
    <w:rsid w:val="00617BDC"/>
    <w:rsid w:val="006B3658"/>
    <w:rsid w:val="00700C67"/>
    <w:rsid w:val="007F79D9"/>
    <w:rsid w:val="00893E7E"/>
    <w:rsid w:val="008C4616"/>
    <w:rsid w:val="00AD27B4"/>
    <w:rsid w:val="00AE5410"/>
    <w:rsid w:val="00B7003B"/>
    <w:rsid w:val="00BB75E3"/>
    <w:rsid w:val="00C70919"/>
    <w:rsid w:val="00F92D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A93AE9D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CH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liases w:val="Normal Aptos"/>
    <w:qFormat/>
    <w:rsid w:val="001564B6"/>
    <w:pPr>
      <w:spacing w:after="0" w:line="240" w:lineRule="auto"/>
    </w:pPr>
    <w:rPr>
      <w:rFonts w:ascii="Aptos" w:hAnsi="Aptos"/>
      <w:sz w:val="28"/>
      <w:szCs w:val="24"/>
      <w:lang w:val="en-GB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1564B6"/>
    <w:pPr>
      <w:tabs>
        <w:tab w:val="center" w:pos="4536"/>
        <w:tab w:val="right" w:pos="9072"/>
      </w:tabs>
    </w:pPr>
  </w:style>
  <w:style w:type="character" w:customStyle="1" w:styleId="HeaderChar">
    <w:name w:val="Header Char"/>
    <w:basedOn w:val="DefaultParagraphFont"/>
    <w:link w:val="Header"/>
    <w:uiPriority w:val="99"/>
    <w:rsid w:val="001564B6"/>
    <w:rPr>
      <w:rFonts w:ascii="Arial" w:hAnsi="Arial"/>
      <w:sz w:val="24"/>
      <w:szCs w:val="24"/>
      <w:lang w:val="en-US"/>
    </w:rPr>
  </w:style>
  <w:style w:type="paragraph" w:styleId="Footer">
    <w:name w:val="footer"/>
    <w:basedOn w:val="Normal"/>
    <w:link w:val="FooterChar"/>
    <w:uiPriority w:val="99"/>
    <w:unhideWhenUsed/>
    <w:rsid w:val="001564B6"/>
    <w:pPr>
      <w:tabs>
        <w:tab w:val="center" w:pos="4536"/>
        <w:tab w:val="right" w:pos="9072"/>
      </w:tabs>
    </w:pPr>
  </w:style>
  <w:style w:type="character" w:customStyle="1" w:styleId="FooterChar">
    <w:name w:val="Footer Char"/>
    <w:basedOn w:val="DefaultParagraphFont"/>
    <w:link w:val="Footer"/>
    <w:uiPriority w:val="99"/>
    <w:rsid w:val="001564B6"/>
    <w:rPr>
      <w:rFonts w:ascii="Arial" w:hAnsi="Arial"/>
      <w:sz w:val="24"/>
      <w:szCs w:val="24"/>
      <w:lang w:val="en-US"/>
    </w:rPr>
  </w:style>
  <w:style w:type="paragraph" w:customStyle="1" w:styleId="Title1">
    <w:name w:val="Title1"/>
    <w:basedOn w:val="Normal"/>
    <w:link w:val="TITLEChar"/>
    <w:qFormat/>
    <w:rsid w:val="001564B6"/>
    <w:rPr>
      <w:rFonts w:ascii="Garage Gothic" w:hAnsi="Garage Gothic"/>
      <w:b/>
      <w:sz w:val="56"/>
      <w:lang w:val="fr-CH"/>
    </w:rPr>
  </w:style>
  <w:style w:type="character" w:customStyle="1" w:styleId="TITLEChar">
    <w:name w:val="TITLE Char"/>
    <w:basedOn w:val="DefaultParagraphFont"/>
    <w:link w:val="Title1"/>
    <w:rsid w:val="001564B6"/>
    <w:rPr>
      <w:rFonts w:ascii="Garage Gothic" w:hAnsi="Garage Gothic"/>
      <w:b/>
      <w:sz w:val="56"/>
      <w:szCs w:val="24"/>
    </w:rPr>
  </w:style>
  <w:style w:type="table" w:customStyle="1" w:styleId="TableGrid">
    <w:name w:val="TableGrid"/>
    <w:rsid w:val="001564B6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oter" Target="footer1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9E0C177400116E4BB1DF7CD68C01AF5F" ma:contentTypeVersion="16" ma:contentTypeDescription="Crée un document." ma:contentTypeScope="" ma:versionID="f3c757f9087b1bff50e371cd40178f55">
  <xsd:schema xmlns:xsd="http://www.w3.org/2001/XMLSchema" xmlns:xs="http://www.w3.org/2001/XMLSchema" xmlns:p="http://schemas.microsoft.com/office/2006/metadata/properties" xmlns:ns2="e438e4ca-c4f0-4c73-919b-9dce23c4bdfb" xmlns:ns3="f263aeb0-f07a-48d3-955a-e7961f73c9df" targetNamespace="http://schemas.microsoft.com/office/2006/metadata/properties" ma:root="true" ma:fieldsID="951a2a1cb14a0963735e43b2180508a3" ns2:_="" ns3:_="">
    <xsd:import namespace="e438e4ca-c4f0-4c73-919b-9dce23c4bdfb"/>
    <xsd:import namespace="f263aeb0-f07a-48d3-955a-e7961f73c9df"/>
    <xsd:element name="properties">
      <xsd:complexType>
        <xsd:sequence>
          <xsd:element name="documentManagement">
            <xsd:complexType>
              <xsd:all>
                <xsd:element ref="ns2:lcf76f155ced4ddcb4097134ff3c332f" minOccurs="0"/>
                <xsd:element ref="ns3:TaxCatchAll" minOccurs="0"/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ObjectDetectorVersion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MediaServiceLocation" minOccurs="0"/>
                <xsd:element ref="ns3:SharedWithUsers" minOccurs="0"/>
                <xsd:element ref="ns3:SharedWithDetail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438e4ca-c4f0-4c73-919b-9dce23c4bdfb" elementFormDefault="qualified">
    <xsd:import namespace="http://schemas.microsoft.com/office/2006/documentManagement/types"/>
    <xsd:import namespace="http://schemas.microsoft.com/office/infopath/2007/PartnerControls"/>
    <xsd:element name="lcf76f155ced4ddcb4097134ff3c332f" ma:index="9" nillable="true" ma:taxonomy="true" ma:internalName="lcf76f155ced4ddcb4097134ff3c332f" ma:taxonomyFieldName="MediaServiceImageTags" ma:displayName="Balises d’images" ma:readOnly="false" ma:fieldId="{5cf76f15-5ced-4ddc-b409-7134ff3c332f}" ma:taxonomyMulti="true" ma:sspId="b81a1e64-cca5-4159-8571-7e0ede9c99f1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Metadata" ma:index="11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3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bjectDetectorVersions" ma:index="15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0" nillable="true" ma:displayName="Location" ma:indexed="true" ma:internalName="MediaServiceLocation" ma:readOnly="true">
      <xsd:simpleType>
        <xsd:restriction base="dms:Text"/>
      </xsd:simpleType>
    </xsd:element>
    <xsd:element name="MediaServiceBillingMetadata" ma:index="23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263aeb0-f07a-48d3-955a-e7961f73c9df" elementFormDefault="qualified">
    <xsd:import namespace="http://schemas.microsoft.com/office/2006/documentManagement/types"/>
    <xsd:import namespace="http://schemas.microsoft.com/office/infopath/2007/PartnerControls"/>
    <xsd:element name="TaxCatchAll" ma:index="10" nillable="true" ma:displayName="Taxonomy Catch All Column" ma:hidden="true" ma:list="{64c6f4f5-d414-4f17-8110-9f8bce761195}" ma:internalName="TaxCatchAll" ma:showField="CatchAllData" ma:web="f263aeb0-f07a-48d3-955a-e7961f73c9df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21" nillable="true" ma:displayName="Partagé avec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2" nillable="true" ma:displayName="Partagé avec dé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e438e4ca-c4f0-4c73-919b-9dce23c4bdfb">
      <Terms xmlns="http://schemas.microsoft.com/office/infopath/2007/PartnerControls"/>
    </lcf76f155ced4ddcb4097134ff3c332f>
    <TaxCatchAll xmlns="f263aeb0-f07a-48d3-955a-e7961f73c9df" xsi:nil="true"/>
    <MediaLengthInSeconds xmlns="e438e4ca-c4f0-4c73-919b-9dce23c4bdfb" xsi:nil="true"/>
    <SharedWithUsers xmlns="f263aeb0-f07a-48d3-955a-e7961f73c9df">
      <UserInfo>
        <DisplayName/>
        <AccountId xsi:nil="true"/>
        <AccountType/>
      </UserInfo>
    </SharedWithUsers>
  </documentManagement>
</p:properties>
</file>

<file path=customXml/itemProps1.xml><?xml version="1.0" encoding="utf-8"?>
<ds:datastoreItem xmlns:ds="http://schemas.openxmlformats.org/officeDocument/2006/customXml" ds:itemID="{49EDAAE7-A7B6-4E45-999D-C3C242B62FA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438e4ca-c4f0-4c73-919b-9dce23c4bdfb"/>
    <ds:schemaRef ds:uri="f263aeb0-f07a-48d3-955a-e7961f73c9d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F138B954-5905-4AA2-ADAE-C700B2EC7B26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D01455C-938C-4933-B3CC-785D36F9B6AD}">
  <ds:schemaRefs>
    <ds:schemaRef ds:uri="http://schemas.microsoft.com/office/2006/metadata/properties"/>
    <ds:schemaRef ds:uri="http://schemas.microsoft.com/office/infopath/2007/PartnerControls"/>
    <ds:schemaRef ds:uri="e438e4ca-c4f0-4c73-919b-9dce23c4bdfb"/>
    <ds:schemaRef ds:uri="f263aeb0-f07a-48d3-955a-e7961f73c9df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202611_2b Tech Baseline Template</Template>
  <TotalTime>0</TotalTime>
  <Pages>1</Pages>
  <Words>204</Words>
  <Characters>970</Characters>
  <Application>Microsoft Office Word</Application>
  <DocSecurity>0</DocSecurity>
  <Lines>46</Lines>
  <Paragraphs>31</Paragraphs>
  <ScaleCrop>false</ScaleCrop>
  <Company/>
  <LinksUpToDate>false</LinksUpToDate>
  <CharactersWithSpaces>1143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Sébastien Moix</dc:creator>
  <cp:keywords/>
  <dc:description/>
  <cp:lastModifiedBy>Sébastien Moix</cp:lastModifiedBy>
  <cp:revision>1</cp:revision>
  <dcterms:created xsi:type="dcterms:W3CDTF">2026-10-22T13:09:00Z</dcterms:created>
  <dcterms:modified xsi:type="dcterms:W3CDTF">2026-10-22T13:20:00Z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0x0101009E0C177400116E4BB1DF7CD68C01AF5F</vt:lpwstr>
  </property>
  <property fmtid="{D5CDD505-2E9C-101B-9397-08002B2CF9AE}" pid="3" name="xd_ProgID">
    <vt:lpwstr/>
  </property>
  <property fmtid="{D5CDD505-2E9C-101B-9397-08002B2CF9AE}" pid="4" name="MediaServiceImageTags">
    <vt:lpwstr/>
  </property>
  <property fmtid="{D5CDD505-2E9C-101B-9397-08002B2CF9AE}" pid="5" name="_SourceUrl">
    <vt:lpwstr/>
  </property>
  <property fmtid="{D5CDD505-2E9C-101B-9397-08002B2CF9AE}" pid="6" name="_SharedFileIndex">
    <vt:lpwstr/>
  </property>
  <property fmtid="{D5CDD505-2E9C-101B-9397-08002B2CF9AE}" pid="7" name="ComplianceAssetId">
    <vt:lpwstr/>
  </property>
  <property fmtid="{D5CDD505-2E9C-101B-9397-08002B2CF9AE}" pid="8" name="TemplateUrl">
    <vt:lpwstr/>
  </property>
  <property fmtid="{D5CDD505-2E9C-101B-9397-08002B2CF9AE}" pid="9" name="_ExtendedDescription">
    <vt:lpwstr/>
  </property>
  <property fmtid="{D5CDD505-2E9C-101B-9397-08002B2CF9AE}" pid="10" name="TriggerFlowInfo">
    <vt:lpwstr/>
  </property>
  <property fmtid="{D5CDD505-2E9C-101B-9397-08002B2CF9AE}" pid="11" name="xd_Signature">
    <vt:bool>false</vt:bool>
  </property>
</Properties>
</file>