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5D00B" w14:textId="77777777" w:rsidR="00AD27B4" w:rsidRDefault="00000000">
      <w:pPr>
        <w:spacing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color w:val="EAB900"/>
          <w:sz w:val="22"/>
          <w:szCs w:val="22"/>
        </w:rPr>
        <w:t xml:space="preserve">Step 2b  </w:t>
      </w:r>
      <w:r w:rsidR="00413D03">
        <w:rPr>
          <w:rFonts w:cs="Aptos"/>
          <w:b/>
          <w:bCs/>
          <w:color w:val="EAB900"/>
          <w:sz w:val="22"/>
          <w:szCs w:val="22"/>
        </w:rPr>
        <w:t>-</w:t>
      </w:r>
      <w:r>
        <w:rPr>
          <w:rFonts w:cs="Aptos"/>
          <w:b/>
          <w:bCs/>
          <w:color w:val="EAB900"/>
          <w:sz w:val="22"/>
          <w:szCs w:val="22"/>
        </w:rPr>
        <w:t xml:space="preserve">  H7 - Ore weakening before comminution</w:t>
      </w:r>
    </w:p>
    <w:p w14:paraId="194AF577" w14:textId="77777777" w:rsidR="00AD27B4" w:rsidRPr="007F79D9" w:rsidRDefault="00000000">
      <w:pPr>
        <w:pStyle w:val="Title1"/>
        <w:spacing w:after="160"/>
        <w:rPr>
          <w:lang w:val="en-US"/>
        </w:rPr>
      </w:pPr>
      <w:r>
        <w:rPr>
          <w:rFonts w:ascii="GarageGothic-Bold" w:hAnsi="GarageGothic-Bold"/>
          <w:b w:val="0"/>
          <w:lang w:val="en-GB"/>
        </w:rPr>
        <w:t>Tech baseline</w:t>
      </w:r>
    </w:p>
    <w:p w14:paraId="6BB783EF" w14:textId="77777777" w:rsidR="00AD27B4" w:rsidRDefault="00000000">
      <w:pPr>
        <w:keepNext/>
        <w:spacing w:before="20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Technologies used in the market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Conventional crushing + SAG/ball milling (incumbent)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Multi-stage mechanical crushing followed by semi-autogenous and ball mills; breakage is indiscriminate, applied to the rock bulk rather than grain boundaries.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Total circuit ~9-23 kWh/t depending on ore hardness (Bond work index ~10-20 kWh/t); comminution = ~36-50% of mine-site energy; only ~3-5% of input energy creates new surface area.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Extremely inefficient; energy scales with ore competency; no mechanism to preferentially weaken ore — the hypothesis attacks exactly this inefficiency.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High-Pressure Grinding Rolls (HPGR)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Ore bed compressed between counter-rotating rolls; inter-particle crushing generates micro-cracks and a weaker, finer product feeding ball mills.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~15-20% lower direct comminution energy vs SAG circuits (e.g. ~7.6-19.3 kWh/t vs 9-23 kWh/t for SABC); ~23-25% lower opex; pilot data shows up to ~60% machine-level energy reduction vs ball milling alone.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High capex, stud/roll wear, prefers dry feed, benefit is ore-dependent; still applies bulk mechanical stress rather than selective grain-boundary weakening — microwave can be complementary upstream, not a replacement.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High-voltage pulse pre-weakening (SELFRAG / electrodynamic fragmentation)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Sub-microsecond electrical discharges pass through immersed ore, generating plasma channels that fragment particles selectively along grain boundaries.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Pre-weakening at ~1-3 kWh/t; JKMRC/Newcrest simulation of a gold-copper circuit indicated ~5 kWh/t circuit energy reduction and potential removal of pebble crushers + a 10 MW ball mill.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Batch/low-throughput machines, requires water immersion and drying, electrode wear, limited industrial adoption at mining scale — microwave treats dry ore continuously at much higher throughput.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Mine-to-mill / blast optimisation (explosive pre-weakening)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Higher-intensity blasting and fragmentation modelling to deliver finer ROM feed, shifting size reduction from mills to cheaper explosive energy.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Typically ~5-15% comminution energy reduction achievable where applicable; explosive energy ~$0.1-0.3/t vs electricity ~10-20x costlier per equivalent breakage.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Diminishing returns, already adopted at most well-run sites, constrained by geotechnical/vibration limits — sets the bar a new pre-treatment must exceed.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Microwave pre-treatment (state of the art — the hypothesis technology)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High-power microwave energy selectively heats high-dielectric-loss mineral phases; differential thermal expansion generates inter- and trans-granular micro-cracks that weaken the ore before it enters crushers/mills.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Nottingham/e2v pilot plant: 10-150 t/h at 10-200 kW, effective at ~0.3-3 kWh/t dose; Bond work index reduced ~3-9% (up to 30-40% in lab on amenable ores, e.g. Palabora 13.1→9.2 kWh/t in 10 s); flowsheet simulations: -9% to -24% specific comminution energy and up to +30% throughput; MicroHammer claims &gt;20% energy reduction at 150 t/h demo, scalable to ~3,000 t/h.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Benefit highly ore/mineralogy-dependent (needs microwave-absorbing vs transparent phase contrast); unproven at full commercial scale; very short exposure (&lt;0.1-1 s) needed for favourable net energy balance; no operating commercial installation yet.</w:t>
      </w:r>
    </w:p>
    <w:p w14:paraId="630CD65A" w14:textId="77777777" w:rsidR="00AD27B4" w:rsidRDefault="00000000">
      <w:pPr>
        <w:keepNext/>
        <w:spacing w:before="20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Why our solution can be better</w:t>
      </w:r>
    </w:p>
    <w:p w14:paraId="5517931A" w14:textId="77777777" w:rsidR="00AD27B4" w:rsidRDefault="00AD27B4">
      <w:pPr>
        <w:spacing w:line="276" w:lineRule="auto"/>
        <w:rPr>
          <w:rFonts w:cs="Aptos"/>
          <w:sz w:val="20"/>
          <w:szCs w:val="20"/>
        </w:rPr>
      </w:pPr>
      <w:r>
        <w:t>Microwave pre-treatment attacks the weakest point of the incumbent flowsheet: mills waste ~95% of their energy because ore must be stressed as a bulk solid, while microwaves deposit energy selectively at grain boundaries where breakage is most valuable, for ~0.5-2 kWh/t input. Unlike HPGR or new mills, it is an add-on installed between primary crushing and milling — it debottlenecks existing circuits (+~30% modelled throughput) and avoids multi-hundred-$M mill expansions, which is a far easier capex decision than circuit replacement. Versus its closest novel rival (HVP/electrodynamic), it treats ore dry, continuously, and has demonstrated 10-150 t/h pilots with a credible path to mining-scale throughput (e2v/Nottingham modelled ~3,000 t/h).</w:t>
      </w:r>
    </w:p>
    <w:p w14:paraId="04734216" w14:textId="77777777" w:rsidR="00AD27B4" w:rsidRDefault="00AD27B4">
      <w:pPr>
        <w:spacing w:line="276" w:lineRule="auto"/>
        <w:rPr>
          <w:rFonts w:cs="Aptos"/>
          <w:sz w:val="20"/>
          <w:szCs w:val="20"/>
        </w:rPr>
      </w:pPr>
    </w:p>
    <w:p w14:paraId="54BB0036" w14:textId="77777777" w:rsidR="00AD27B4" w:rsidRDefault="00AD27B4">
      <w:pPr>
        <w:spacing w:line="276" w:lineRule="auto"/>
        <w:rPr>
          <w:rFonts w:cs="Aptos"/>
          <w:sz w:val="20"/>
          <w:szCs w:val="20"/>
        </w:rPr>
      </w:pPr>
    </w:p>
    <w:p w14:paraId="2503F6A1" w14:textId="77777777" w:rsidR="00AD27B4" w:rsidRDefault="00000000">
      <w:pPr>
        <w:keepNext/>
        <w:spacing w:before="80" w:after="10"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Key assumptions</w:t>
      </w:r>
      <w:r>
        <w:rPr>
          <w:rFonts w:cs="Aptos"/>
          <w:i/>
          <w:iCs/>
          <w:color w:val="404040"/>
          <w:sz w:val="16"/>
          <w:szCs w:val="16"/>
          <w:highlight w:val="yellow"/>
        </w:rPr>
        <w:t xml:space="preserve"> </w:t>
      </w:r>
    </w:p>
    <w:p w14:paraId="24193E41" w14:textId="77777777" w:rsidR="00AD27B4" w:rsidRDefault="00AD27B4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t>• Comminution consumes ~36-50% of mine-site energy; the grinding mill is the largest single consumer (measured, Weir/Engeco 2021; US DOE bandwidth study: grinding ~40% of mining energy)</w:t>
      </w:r>
    </w:p>
    <w:p w14:paraId="2503F6A1" w14:textId="77777777" w:rsidR="00AD27B4" w:rsidRDefault="00000000">
      <w:pPr>
        <w:keepNext/>
        <w:spacing w:before="80" w:after="10" w:line="264" w:lineRule="auto"/>
        <w:rPr>
          <w:rFonts w:cs="Aptos"/>
          <w:sz w:val="19"/>
          <w:szCs w:val="19"/>
        </w:rPr>
      </w:pPr>
      <w:r>
        <w:t>• Microwave doses of ~0.3-1.3 kWh/t at high power density measurably weaken ore at pilot scale: A*b -7-14%, Bond work index -3-9% (measured, Nottingham pilot, 300 t processed under power)</w:t>
      </w:r>
    </w:p>
    <w:p w14:paraId="2503F6A1" w14:textId="77777777" w:rsidR="00AD27B4" w:rsidRDefault="00000000">
      <w:pPr>
        <w:keepNext/>
        <w:spacing w:before="80" w:after="10" w:line="264" w:lineRule="auto"/>
        <w:rPr>
          <w:rFonts w:cs="Aptos"/>
          <w:sz w:val="19"/>
          <w:szCs w:val="19"/>
        </w:rPr>
      </w:pPr>
      <w:r>
        <w:t>• Modelled -9% to -24% specific comminution energy and up to +30% throughput depending on ore and grind size (measured/simulated — not yet demonstrated at plant scale)</w:t>
      </w:r>
    </w:p>
    <w:p w14:paraId="2503F6A1" w14:textId="77777777" w:rsidR="00AD27B4" w:rsidRDefault="00000000">
      <w:pPr>
        <w:keepNext/>
        <w:spacing w:before="80" w:after="10" w:line="264" w:lineRule="auto"/>
        <w:rPr>
          <w:rFonts w:cs="Aptos"/>
          <w:sz w:val="19"/>
          <w:szCs w:val="19"/>
        </w:rPr>
      </w:pPr>
      <w:r>
        <w:t>• Net energy balance is favourable: ~1 kWh/t microwave input vs ~2-5 kWh/t downstream saving; requires sub-second high-power-density exposure (assumed — simulation-based, ore-dependent)</w:t>
      </w:r>
    </w:p>
    <w:p w14:paraId="2503F6A1" w14:textId="77777777" w:rsidR="00AD27B4" w:rsidRDefault="00000000">
      <w:pPr>
        <w:keepNext/>
        <w:spacing w:before="80" w:after="10" w:line="264" w:lineRule="auto"/>
        <w:rPr>
          <w:rFonts w:cs="Aptos"/>
          <w:sz w:val="19"/>
          <w:szCs w:val="19"/>
        </w:rPr>
      </w:pPr>
      <w:r>
        <w:t>• Sufficient fraction of world ores are amenable (need strong dielectric-loss contrast, e.g. sulphides/pyrite in quartz matrix); lab strength reductions range ~8-40% by ore (measured but highly variable — key risk)</w:t>
      </w:r>
    </w:p>
    <w:p w14:paraId="77760D31" w14:textId="77777777" w:rsidR="00AD27B4" w:rsidRDefault="00AD27B4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</w:p>
    <w:p w14:paraId="06E4F8E1" w14:textId="77777777" w:rsidR="00AD27B4" w:rsidRDefault="00AD27B4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</w:p>
    <w:p w14:paraId="192C8EC1" w14:textId="77777777" w:rsidR="00AD27B4" w:rsidRDefault="00AD27B4">
      <w:pPr>
        <w:keepNext/>
        <w:spacing w:before="240" w:line="264" w:lineRule="auto"/>
        <w:rPr>
          <w:rFonts w:cs="Aptos"/>
          <w:sz w:val="16"/>
          <w:szCs w:val="16"/>
        </w:rPr>
      </w:pPr>
    </w:p>
    <w:tbl>
      <w:tblPr>
        <w:tblW w:w="9072" w:type="dxa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760"/>
        <w:gridCol w:w="740"/>
        <w:gridCol w:w="1236"/>
        <w:gridCol w:w="640"/>
        <w:gridCol w:w="648"/>
        <w:gridCol w:w="512"/>
        <w:gridCol w:w="760"/>
        <w:gridCol w:w="1252"/>
        <w:gridCol w:w="724"/>
        <w:gridCol w:w="640"/>
        <w:gridCol w:w="1160"/>
      </w:tblGrid>
      <w:tr w:rsidR="00AD27B4" w14:paraId="460BE138" w14:textId="77777777">
        <w:trPr>
          <w:cantSplit/>
          <w:trHeight w:hRule="exact" w:val="300"/>
        </w:trPr>
        <w:tc>
          <w:tcPr>
            <w:tcW w:w="9072" w:type="dxa"/>
            <w:gridSpan w:val="1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5D6D52BC" w14:textId="77777777" w:rsidR="00AD27B4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color w:val="4B5563"/>
                <w:sz w:val="16"/>
                <w:szCs w:val="16"/>
              </w:rPr>
              <w:t>Personal input</w:t>
            </w:r>
          </w:p>
        </w:tc>
      </w:tr>
      <w:tr w:rsidR="00AD27B4" w14:paraId="2BFADA29" w14:textId="77777777">
        <w:trPr>
          <w:cantSplit/>
          <w:trHeight w:hRule="exact" w:val="300"/>
        </w:trPr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50CC02E6" w14:textId="77777777" w:rsidR="00AD27B4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Devin (agent draft)</w:t>
            </w: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0FD41285" w14:textId="77777777" w:rsidR="00AD27B4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2026-10-30</w:t>
            </w:r>
          </w:p>
        </w:tc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3902F014" w14:textId="77777777" w:rsidR="00AD27B4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40C0EEE1" w14:textId="77777777" w:rsidR="00AD27B4" w:rsidRDefault="00AD27B4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44990FBF" w14:textId="77777777" w:rsidR="00AD27B4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3EFDDC57" w14:textId="77777777" w:rsidR="00AD27B4" w:rsidRDefault="00AD27B4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D27B4" w14:paraId="4EBB25D2" w14:textId="77777777">
        <w:trPr>
          <w:cantSplit/>
          <w:trHeight w:hRule="exact" w:val="760"/>
        </w:trPr>
        <w:tc>
          <w:tcPr>
            <w:tcW w:w="4536" w:type="dxa"/>
            <w:gridSpan w:val="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1902797" w14:textId="77777777" w:rsidR="00AD27B4" w:rsidRDefault="00AD27B4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24BBDC0" w14:textId="77777777" w:rsidR="00AD27B4" w:rsidRDefault="00AD27B4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D27B4" w14:paraId="2781192B" w14:textId="77777777">
        <w:trPr>
          <w:cantSplit/>
          <w:trHeight w:hRule="exact" w:val="140"/>
        </w:trPr>
        <w:tc>
          <w:tcPr>
            <w:tcW w:w="9072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6D688" w14:textId="77777777" w:rsidR="00AD27B4" w:rsidRDefault="00AD27B4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D27B4" w14:paraId="0F6B25D8" w14:textId="77777777">
        <w:trPr>
          <w:cantSplit/>
          <w:trHeight w:hRule="exact" w:val="420"/>
        </w:trPr>
        <w:tc>
          <w:tcPr>
            <w:tcW w:w="1500" w:type="dxa"/>
            <w:gridSpan w:val="2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vAlign w:val="center"/>
          </w:tcPr>
          <w:p w14:paraId="1EAF408B" w14:textId="77777777" w:rsidR="00AD27B4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sz w:val="20"/>
                <w:szCs w:val="20"/>
              </w:rPr>
              <w:t>Decision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444BD7A2" w14:textId="77777777" w:rsidR="00AD27B4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-12968356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Go to next step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2C9C321A" w14:textId="77777777" w:rsidR="00AD27B4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-1457172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Rework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7F3AD786" w14:textId="77777777" w:rsidR="00AD27B4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-605892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Drop the hypothesis</w:t>
            </w:r>
          </w:p>
        </w:tc>
      </w:tr>
    </w:tbl>
    <w:p w14:paraId="1C97942E" w14:textId="77777777" w:rsidR="00AD27B4" w:rsidRDefault="00AD27B4">
      <w:pPr>
        <w:spacing w:line="264" w:lineRule="auto"/>
        <w:rPr>
          <w:rFonts w:cs="Aptos"/>
          <w:sz w:val="4"/>
          <w:szCs w:val="4"/>
        </w:rPr>
      </w:pPr>
    </w:p>
    <w:sectPr w:rsidR="00AD27B4" w:rsidSect="001564B6">
      <w:headerReference w:type="default" r:id="rId10"/>
      <w:footerReference w:type="default" r:id="rId11"/>
      <w:pgSz w:w="11906" w:h="16838"/>
      <w:pgMar w:top="1417" w:right="1417" w:bottom="1134" w:left="1417" w:header="283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43E4A" w14:textId="77777777" w:rsidR="008C4616" w:rsidRDefault="008C4616" w:rsidP="001564B6">
      <w:r>
        <w:separator/>
      </w:r>
    </w:p>
  </w:endnote>
  <w:endnote w:type="continuationSeparator" w:id="0">
    <w:p w14:paraId="2240E236" w14:textId="77777777" w:rsidR="008C4616" w:rsidRDefault="008C4616" w:rsidP="00156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ge Gothic">
    <w:panose1 w:val="00000000000000000000"/>
    <w:charset w:val="00"/>
    <w:family w:val="modern"/>
    <w:notTrueType/>
    <w:pitch w:val="variable"/>
    <w:sig w:usb0="A00000AF" w:usb1="50002048" w:usb2="00000000" w:usb3="00000000" w:csb0="00000111" w:csb1="00000000"/>
  </w:font>
  <w:font w:name="GarageGothic-Bold">
    <w:panose1 w:val="02000508030000020003"/>
    <w:charset w:val="00"/>
    <w:family w:val="moder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5E5BD" w14:textId="77777777" w:rsidR="00AD27B4" w:rsidRDefault="00000000">
    <w:pPr>
      <w:pStyle w:val="Footer"/>
      <w:pBdr>
        <w:top w:val="single" w:sz="4" w:space="6" w:color="D1D5DB"/>
      </w:pBdr>
      <w:tabs>
        <w:tab w:val="clear" w:pos="4536"/>
      </w:tabs>
      <w:rPr>
        <w:color w:val="374151"/>
        <w:sz w:val="18"/>
      </w:rPr>
    </w:pPr>
    <w:r>
      <w:rPr>
        <w:color w:val="374151"/>
        <w:sz w:val="18"/>
      </w:rPr>
      <w:t>Confidential</w:t>
    </w:r>
    <w:r>
      <w:rPr>
        <w:color w:val="374151"/>
        <w:sz w:val="18"/>
      </w:rPr>
      <w:tab/>
      <w:t xml:space="preserve">Page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PAGE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  <w:r>
      <w:rPr>
        <w:color w:val="374151"/>
        <w:sz w:val="18"/>
      </w:rPr>
      <w:t xml:space="preserve"> of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NUMPAGES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BD4B7" w14:textId="77777777" w:rsidR="008C4616" w:rsidRDefault="008C4616" w:rsidP="001564B6">
      <w:r>
        <w:separator/>
      </w:r>
    </w:p>
  </w:footnote>
  <w:footnote w:type="continuationSeparator" w:id="0">
    <w:p w14:paraId="79B972C8" w14:textId="77777777" w:rsidR="008C4616" w:rsidRDefault="008C4616" w:rsidP="00156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1F73F" w14:textId="77777777" w:rsidR="001564B6" w:rsidRPr="001564B6" w:rsidRDefault="00700C67">
    <w:pPr>
      <w:pStyle w:val="Header"/>
      <w:rPr>
        <w:rFonts w:ascii="Garage Gothic" w:hAnsi="Garage Gothic"/>
        <w:szCs w:val="28"/>
      </w:rPr>
    </w:pPr>
    <w:r>
      <w:rPr>
        <w:rFonts w:cs="Aptos"/>
        <w:color w:val="4B5563"/>
        <w:sz w:val="18"/>
        <w:szCs w:val="18"/>
      </w:rPr>
      <w:t xml:space="preserve">Written </w:t>
    </w:r>
    <w:proofErr w:type="gramStart"/>
    <w:r>
      <w:rPr>
        <w:rFonts w:cs="Aptos"/>
        <w:color w:val="4B5563"/>
        <w:sz w:val="18"/>
        <w:szCs w:val="18"/>
      </w:rPr>
      <w:t xml:space="preserve">by  </w:t>
    </w:r>
    <w:r>
      <w:rPr>
        <w:rFonts w:cs="Aptos"/>
        <w:color w:val="1F2937"/>
        <w:sz w:val="18"/>
        <w:szCs w:val="18"/>
      </w:rPr>
      <w:t>[Name]</w:t>
    </w:r>
    <w:r>
      <w:rPr>
        <w:rFonts w:cs="Aptos"/>
        <w:color w:val="4B5563"/>
        <w:sz w:val="18"/>
        <w:szCs w:val="18"/>
      </w:rPr>
      <w:t xml:space="preserve">   </w:t>
    </w:r>
    <w:proofErr w:type="gramEnd"/>
    <w:r>
      <w:rPr>
        <w:rFonts w:cs="Aptos"/>
        <w:color w:val="4B5563"/>
        <w:sz w:val="18"/>
        <w:szCs w:val="18"/>
      </w:rPr>
      <w:t xml:space="preserve">  </w:t>
    </w:r>
    <w:proofErr w:type="gramStart"/>
    <w:r>
      <w:rPr>
        <w:rFonts w:cs="Aptos"/>
        <w:color w:val="4B5563"/>
        <w:sz w:val="18"/>
        <w:szCs w:val="18"/>
      </w:rPr>
      <w:t xml:space="preserve">Date  </w:t>
    </w:r>
    <w:r>
      <w:rPr>
        <w:rFonts w:cs="Aptos"/>
        <w:color w:val="1F2937"/>
        <w:sz w:val="18"/>
        <w:szCs w:val="18"/>
      </w:rPr>
      <w:t>[</w:t>
    </w:r>
    <w:proofErr w:type="spellStart"/>
    <w:r>
      <w:rPr>
        <w:rFonts w:cs="Aptos"/>
        <w:color w:val="1F2937"/>
        <w:sz w:val="18"/>
        <w:szCs w:val="18"/>
      </w:rPr>
      <w:t>dd.mm.yyyy</w:t>
    </w:r>
    <w:proofErr w:type="spellEnd"/>
    <w:proofErr w:type="gramEnd"/>
    <w:r>
      <w:rPr>
        <w:rFonts w:cs="Aptos"/>
        <w:color w:val="1F2937"/>
        <w:sz w:val="18"/>
        <w:szCs w:val="18"/>
      </w:rPr>
      <w:t>]</w:t>
    </w:r>
    <w:r w:rsidR="001564B6" w:rsidRPr="001564B6">
      <w:rPr>
        <w:rFonts w:ascii="Garage Gothic" w:hAnsi="Garage Gothic"/>
        <w:szCs w:val="28"/>
        <w:lang w:val="fr-CH"/>
      </w:rPr>
      <w:ptab w:relativeTo="margin" w:alignment="center" w:leader="none"/>
    </w:r>
    <w:r w:rsidR="001564B6" w:rsidRPr="001564B6">
      <w:rPr>
        <w:rFonts w:ascii="Garage Gothic" w:hAnsi="Garage Gothic"/>
        <w:szCs w:val="28"/>
        <w:lang w:val="fr-CH"/>
      </w:rPr>
      <w:ptab w:relativeTo="margin" w:alignment="right" w:leader="none"/>
    </w:r>
    <w:r w:rsidR="001564B6">
      <w:rPr>
        <w:rFonts w:ascii="Garage Gothic" w:hAnsi="Garage Gothic"/>
        <w:noProof/>
        <w:szCs w:val="28"/>
        <w:lang w:val="fr-CH"/>
      </w:rPr>
      <w:drawing>
        <wp:inline distT="0" distB="0" distL="0" distR="0" wp14:anchorId="4110BC2A" wp14:editId="3A0F77D7">
          <wp:extent cx="1355059" cy="331893"/>
          <wp:effectExtent l="0" t="0" r="7620" b="2540"/>
          <wp:docPr id="270241058" name="Picture 270241058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close-up of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8155" cy="357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622F3"/>
    <w:multiLevelType w:val="singleLevel"/>
    <w:tmpl w:val="F7A41088"/>
    <w:lvl w:ilvl="0">
      <w:start w:val="1"/>
      <w:numFmt w:val="bullet"/>
      <w:lvlText w:val="•"/>
      <w:lvlJc w:val="left"/>
      <w:pPr>
        <w:ind w:left="360" w:hanging="220"/>
      </w:pPr>
      <w:rPr>
        <w:rFonts w:ascii="Aptos" w:hAnsi="Aptos"/>
        <w:color w:val="6B7280"/>
      </w:rPr>
    </w:lvl>
  </w:abstractNum>
  <w:num w:numId="1" w16cid:durableId="924261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932"/>
    <w:rsid w:val="00002E1F"/>
    <w:rsid w:val="001269B9"/>
    <w:rsid w:val="001564B6"/>
    <w:rsid w:val="001A5B46"/>
    <w:rsid w:val="001A7E76"/>
    <w:rsid w:val="001E41E1"/>
    <w:rsid w:val="00343D98"/>
    <w:rsid w:val="003A7932"/>
    <w:rsid w:val="00413D03"/>
    <w:rsid w:val="004719E8"/>
    <w:rsid w:val="005D0A9D"/>
    <w:rsid w:val="005D0FC5"/>
    <w:rsid w:val="00617BDC"/>
    <w:rsid w:val="006B3658"/>
    <w:rsid w:val="00700C67"/>
    <w:rsid w:val="007F79D9"/>
    <w:rsid w:val="00893E7E"/>
    <w:rsid w:val="008C4616"/>
    <w:rsid w:val="00AD27B4"/>
    <w:rsid w:val="00AE5410"/>
    <w:rsid w:val="00B7003B"/>
    <w:rsid w:val="00BB75E3"/>
    <w:rsid w:val="00C70919"/>
    <w:rsid w:val="00F9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93AE9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Aptos"/>
    <w:qFormat/>
    <w:rsid w:val="001564B6"/>
    <w:pPr>
      <w:spacing w:after="0" w:line="240" w:lineRule="auto"/>
    </w:pPr>
    <w:rPr>
      <w:rFonts w:ascii="Aptos" w:hAnsi="Aptos"/>
      <w:sz w:val="28"/>
      <w:szCs w:val="24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64B6"/>
    <w:rPr>
      <w:rFonts w:ascii="Arial" w:hAnsi="Arial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64B6"/>
    <w:rPr>
      <w:rFonts w:ascii="Arial" w:hAnsi="Arial"/>
      <w:sz w:val="24"/>
      <w:szCs w:val="24"/>
      <w:lang w:val="en-US"/>
    </w:rPr>
  </w:style>
  <w:style w:type="paragraph" w:customStyle="1" w:styleId="Title1">
    <w:name w:val="Title1"/>
    <w:basedOn w:val="Normal"/>
    <w:link w:val="TITLEChar"/>
    <w:qFormat/>
    <w:rsid w:val="001564B6"/>
    <w:rPr>
      <w:rFonts w:ascii="Garage Gothic" w:hAnsi="Garage Gothic"/>
      <w:b/>
      <w:sz w:val="56"/>
      <w:lang w:val="fr-CH"/>
    </w:rPr>
  </w:style>
  <w:style w:type="character" w:customStyle="1" w:styleId="TITLEChar">
    <w:name w:val="TITLE Char"/>
    <w:basedOn w:val="DefaultParagraphFont"/>
    <w:link w:val="Title1"/>
    <w:rsid w:val="001564B6"/>
    <w:rPr>
      <w:rFonts w:ascii="Garage Gothic" w:hAnsi="Garage Gothic"/>
      <w:b/>
      <w:sz w:val="56"/>
      <w:szCs w:val="24"/>
    </w:rPr>
  </w:style>
  <w:style w:type="table" w:customStyle="1" w:styleId="TableGrid">
    <w:name w:val="TableGrid"/>
    <w:rsid w:val="001564B6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0C177400116E4BB1DF7CD68C01AF5F" ma:contentTypeVersion="16" ma:contentTypeDescription="Crée un document." ma:contentTypeScope="" ma:versionID="f3c757f9087b1bff50e371cd40178f55">
  <xsd:schema xmlns:xsd="http://www.w3.org/2001/XMLSchema" xmlns:xs="http://www.w3.org/2001/XMLSchema" xmlns:p="http://schemas.microsoft.com/office/2006/metadata/properties" xmlns:ns2="e438e4ca-c4f0-4c73-919b-9dce23c4bdfb" xmlns:ns3="f263aeb0-f07a-48d3-955a-e7961f73c9df" targetNamespace="http://schemas.microsoft.com/office/2006/metadata/properties" ma:root="true" ma:fieldsID="951a2a1cb14a0963735e43b2180508a3" ns2:_="" ns3:_="">
    <xsd:import namespace="e438e4ca-c4f0-4c73-919b-9dce23c4bdfb"/>
    <xsd:import namespace="f263aeb0-f07a-48d3-955a-e7961f73c9d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8e4ca-c4f0-4c73-919b-9dce23c4bdf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alises d’images" ma:readOnly="false" ma:fieldId="{5cf76f15-5ced-4ddc-b409-7134ff3c332f}" ma:taxonomyMulti="true" ma:sspId="b81a1e64-cca5-4159-8571-7e0ede9c99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3aeb0-f07a-48d3-955a-e7961f73c9d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4c6f4f5-d414-4f17-8110-9f8bce761195}" ma:internalName="TaxCatchAll" ma:showField="CatchAllData" ma:web="f263aeb0-f07a-48d3-955a-e7961f73c9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38e4ca-c4f0-4c73-919b-9dce23c4bdfb">
      <Terms xmlns="http://schemas.microsoft.com/office/infopath/2007/PartnerControls"/>
    </lcf76f155ced4ddcb4097134ff3c332f>
    <TaxCatchAll xmlns="f263aeb0-f07a-48d3-955a-e7961f73c9df" xsi:nil="true"/>
    <MediaLengthInSeconds xmlns="e438e4ca-c4f0-4c73-919b-9dce23c4bdfb" xsi:nil="true"/>
    <SharedWithUsers xmlns="f263aeb0-f07a-48d3-955a-e7961f73c9df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49EDAAE7-A7B6-4E45-999D-C3C242B62F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38e4ca-c4f0-4c73-919b-9dce23c4bdfb"/>
    <ds:schemaRef ds:uri="f263aeb0-f07a-48d3-955a-e7961f73c9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138B954-5905-4AA2-ADAE-C700B2EC7B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01455C-938C-4933-B3CC-785D36F9B6AD}">
  <ds:schemaRefs>
    <ds:schemaRef ds:uri="http://schemas.microsoft.com/office/2006/metadata/properties"/>
    <ds:schemaRef ds:uri="http://schemas.microsoft.com/office/infopath/2007/PartnerControls"/>
    <ds:schemaRef ds:uri="e438e4ca-c4f0-4c73-919b-9dce23c4bdfb"/>
    <ds:schemaRef ds:uri="f263aeb0-f07a-48d3-955a-e7961f73c9d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202611_2b Tech Baseline Template</Template>
  <TotalTime>0</TotalTime>
  <Pages>1</Pages>
  <Words>204</Words>
  <Characters>970</Characters>
  <Application>Microsoft Office Word</Application>
  <DocSecurity>0</DocSecurity>
  <Lines>46</Lines>
  <Paragraphs>31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Moix</dc:creator>
  <cp:keywords/>
  <dc:description/>
  <cp:lastModifiedBy>Sébastien Moix</cp:lastModifiedBy>
  <cp:revision>1</cp:revision>
  <dcterms:created xsi:type="dcterms:W3CDTF">2026-10-22T13:09:00Z</dcterms:created>
  <dcterms:modified xsi:type="dcterms:W3CDTF">2026-10-22T13:20:00Z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0x0101009E0C177400116E4BB1DF7CD68C01AF5F</vt:lpwstr>
  </property>
  <property fmtid="{D5CDD505-2E9C-101B-9397-08002B2CF9AE}" pid="3" name="xd_ProgID">
    <vt:lpwstr/>
  </property>
  <property fmtid="{D5CDD505-2E9C-101B-9397-08002B2CF9AE}" pid="4" name="MediaServiceImageTags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