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FE3AF" w14:textId="23E619E7" w:rsidR="00A26BD9" w:rsidRDefault="00000000">
      <w:pPr>
        <w:spacing w:line="264" w:lineRule="auto"/>
        <w:rPr>
          <w:rFonts w:cs="Aptos"/>
          <w:sz w:val="20"/>
          <w:szCs w:val="20"/>
        </w:rPr>
      </w:pPr>
      <w:r>
        <w:rPr>
          <w:rFonts w:cs="Aptos"/>
          <w:b/>
          <w:bCs/>
          <w:color w:val="EAB900"/>
          <w:sz w:val="22"/>
          <w:szCs w:val="22"/>
        </w:rPr>
        <w:t>Step 2</w:t>
      </w:r>
      <w:proofErr w:type="gramStart"/>
      <w:r>
        <w:rPr>
          <w:rFonts w:cs="Aptos"/>
          <w:b/>
          <w:bCs/>
          <w:color w:val="EAB900"/>
          <w:sz w:val="22"/>
          <w:szCs w:val="22"/>
        </w:rPr>
        <w:t xml:space="preserve">a  </w:t>
      </w:r>
      <w:r w:rsidR="00A944F3">
        <w:rPr>
          <w:rFonts w:cs="Aptos"/>
          <w:b/>
          <w:bCs/>
          <w:color w:val="EAB900"/>
          <w:sz w:val="22"/>
          <w:szCs w:val="22"/>
        </w:rPr>
        <w:t>-</w:t>
      </w:r>
      <w:proofErr w:type="gramEnd"/>
      <w:r>
        <w:rPr>
          <w:rFonts w:cs="Aptos"/>
          <w:b/>
          <w:bCs/>
          <w:color w:val="EAB900"/>
          <w:sz w:val="22"/>
          <w:szCs w:val="22"/>
        </w:rPr>
        <w:t xml:space="preserve">  H6 - Millers enzyme inactivation without steam</w:t>
      </w:r>
    </w:p>
    <w:p w14:paraId="5BBE768F" w14:textId="77777777" w:rsidR="00A26BD9" w:rsidRPr="00374BD6" w:rsidRDefault="00000000">
      <w:pPr>
        <w:pStyle w:val="Title1"/>
        <w:spacing w:after="160"/>
        <w:rPr>
          <w:lang w:val="en-US"/>
        </w:rPr>
      </w:pPr>
      <w:r>
        <w:rPr>
          <w:rFonts w:ascii="GarageGothic-Bold" w:hAnsi="GarageGothic-Bold"/>
          <w:b w:val="0"/>
          <w:lang w:val="en-GB"/>
        </w:rPr>
        <w:t>Market scan</w:t>
      </w:r>
    </w:p>
    <w:p w14:paraId="34D72F74" w14:textId="77777777" w:rsidR="00A26BD9" w:rsidRDefault="00000000">
      <w:pPr>
        <w:keepNext/>
        <w:spacing w:before="110" w:after="30" w:line="264" w:lineRule="auto"/>
        <w:rPr>
          <w:rFonts w:cs="Aptos"/>
          <w:sz w:val="24"/>
        </w:rPr>
      </w:pPr>
      <w:r>
        <w:rPr>
          <w:rFonts w:cs="Aptos"/>
          <w:b/>
          <w:bCs/>
          <w:sz w:val="24"/>
        </w:rPr>
        <w:t>Market size</w:t>
      </w:r>
    </w:p>
    <w:p w14:paraId="3AD932B4" w14:textId="0033F9AF" w:rsidR="00A26BD9" w:rsidRDefault="00A26BD9">
      <w:pPr>
        <w:spacing w:line="276" w:lineRule="auto"/>
        <w:rPr>
          <w:rFonts w:cs="Aptos"/>
          <w:sz w:val="20"/>
          <w:szCs w:val="20"/>
        </w:rPr>
      </w:pPr>
      <w:r>
        <w:t>The addressable frame is the global flour milling industry: ~285 Mt of wheat/meslin flour consumed in 2024 (~$150-190B value, growing ~1-2%/yr), ~450 Mt total flour including other grains. Enzyme inactivation (stabilization) is relevant mainly to whole-grain flour, bran, germ, oats and rice bran - a niche of the ~$12B/yr milling-equipment market, but growing with whole-grain and clean-label demand (~6% CAGR in wheat germ flour). The equipment niche itself is likely a few hundred M$/yr globally, order of magnitude.</w:t>
      </w:r>
    </w:p>
    <w:p w14:paraId="397AF537" w14:textId="77777777" w:rsidR="00A26BD9" w:rsidRDefault="00A26BD9">
      <w:pPr>
        <w:spacing w:line="276" w:lineRule="auto"/>
        <w:rPr>
          <w:rFonts w:cs="Aptos"/>
          <w:sz w:val="20"/>
          <w:szCs w:val="20"/>
        </w:rPr>
      </w:pPr>
    </w:p>
    <w:tbl>
      <w:tblPr>
        <w:tblW w:w="453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20" w:type="dxa"/>
          <w:left w:w="80" w:type="dxa"/>
          <w:bottom w:w="20" w:type="dxa"/>
          <w:right w:w="8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</w:tblGrid>
      <w:tr w:rsidR="00A26BD9" w14:paraId="3C8BC1A3" w14:textId="77777777">
        <w:trPr>
          <w:cantSplit/>
          <w:trHeight w:val="240"/>
          <w:tblHeader/>
        </w:trPr>
        <w:tc>
          <w:tcPr>
            <w:tcW w:w="1134" w:type="dxa"/>
            <w:shd w:val="clear" w:color="auto" w:fill="F3F4F6"/>
            <w:vAlign w:val="center"/>
          </w:tcPr>
          <w:p w14:paraId="3D1DFFF2" w14:textId="77777777" w:rsidR="00A26BD9" w:rsidRDefault="00000000">
            <w:pPr>
              <w:spacing w:line="252" w:lineRule="auto"/>
              <w:rPr>
                <w:rFonts w:cs="Aptos"/>
                <w:sz w:val="18"/>
                <w:szCs w:val="18"/>
              </w:rPr>
            </w:pPr>
            <w:r>
              <w:rPr>
                <w:rFonts w:cs="Aptos"/>
                <w:b/>
                <w:bCs/>
                <w:color w:val="374151"/>
                <w:sz w:val="15"/>
                <w:szCs w:val="15"/>
              </w:rPr>
              <w:t>Region</w:t>
            </w:r>
          </w:p>
        </w:tc>
        <w:tc>
          <w:tcPr>
            <w:tcW w:w="1134" w:type="dxa"/>
            <w:shd w:val="clear" w:color="auto" w:fill="F3F4F6"/>
            <w:vAlign w:val="center"/>
          </w:tcPr>
          <w:p w14:paraId="42F0ACE6" w14:textId="0FA52888" w:rsidR="00A26BD9" w:rsidRDefault="00000000">
            <w:pPr>
              <w:spacing w:line="252" w:lineRule="auto"/>
              <w:rPr>
                <w:rFonts w:cs="Aptos"/>
                <w:sz w:val="18"/>
                <w:szCs w:val="18"/>
              </w:rPr>
            </w:pPr>
            <w:r>
              <w:rPr>
                <w:rFonts w:cs="Aptos"/>
                <w:b/>
                <w:bCs/>
                <w:color w:val="374151"/>
                <w:sz w:val="15"/>
                <w:szCs w:val="15"/>
              </w:rPr>
              <w:t>Size</w:t>
            </w:r>
            <w:r w:rsidR="00374BD6">
              <w:rPr>
                <w:rFonts w:cs="Aptos"/>
                <w:b/>
                <w:bCs/>
                <w:color w:val="374151"/>
                <w:sz w:val="15"/>
                <w:szCs w:val="15"/>
              </w:rPr>
              <w:t xml:space="preserve"> ($B)</w:t>
            </w:r>
          </w:p>
        </w:tc>
        <w:tc>
          <w:tcPr>
            <w:tcW w:w="1134" w:type="dxa"/>
            <w:shd w:val="clear" w:color="auto" w:fill="F3F4F6"/>
            <w:vAlign w:val="center"/>
          </w:tcPr>
          <w:p w14:paraId="2625C00F" w14:textId="77777777" w:rsidR="00A26BD9" w:rsidRDefault="00000000">
            <w:pPr>
              <w:spacing w:line="252" w:lineRule="auto"/>
              <w:rPr>
                <w:rFonts w:cs="Aptos"/>
                <w:sz w:val="18"/>
                <w:szCs w:val="18"/>
              </w:rPr>
            </w:pPr>
            <w:r>
              <w:rPr>
                <w:rFonts w:cs="Aptos"/>
                <w:b/>
                <w:bCs/>
                <w:color w:val="374151"/>
                <w:sz w:val="15"/>
                <w:szCs w:val="15"/>
              </w:rPr>
              <w:t>Region</w:t>
            </w:r>
          </w:p>
        </w:tc>
        <w:tc>
          <w:tcPr>
            <w:tcW w:w="1134" w:type="dxa"/>
            <w:shd w:val="clear" w:color="auto" w:fill="F3F4F6"/>
            <w:vAlign w:val="center"/>
          </w:tcPr>
          <w:p w14:paraId="1145C463" w14:textId="1FF2B160" w:rsidR="00A26BD9" w:rsidRDefault="00000000">
            <w:pPr>
              <w:spacing w:line="252" w:lineRule="auto"/>
              <w:rPr>
                <w:rFonts w:cs="Aptos"/>
                <w:sz w:val="18"/>
                <w:szCs w:val="18"/>
              </w:rPr>
            </w:pPr>
            <w:r>
              <w:rPr>
                <w:rFonts w:cs="Aptos"/>
                <w:b/>
                <w:bCs/>
                <w:color w:val="374151"/>
                <w:sz w:val="15"/>
                <w:szCs w:val="15"/>
              </w:rPr>
              <w:t>Size</w:t>
            </w:r>
            <w:r w:rsidR="00374BD6">
              <w:rPr>
                <w:rFonts w:cs="Aptos"/>
                <w:b/>
                <w:bCs/>
                <w:color w:val="374151"/>
                <w:sz w:val="15"/>
                <w:szCs w:val="15"/>
              </w:rPr>
              <w:t xml:space="preserve"> ($B)</w:t>
            </w:r>
          </w:p>
        </w:tc>
      </w:tr>
      <w:tr w:rsidR="00A26BD9" w14:paraId="5405F561" w14:textId="77777777">
        <w:trPr>
          <w:cantSplit/>
          <w:trHeight w:val="240"/>
        </w:trPr>
        <w:tc>
          <w:tcPr>
            <w:tcW w:w="1134" w:type="dxa"/>
            <w:vAlign w:val="center"/>
          </w:tcPr>
          <w:p w14:paraId="5890627B" w14:textId="77777777" w:rsidR="00A26BD9" w:rsidRDefault="00000000">
            <w:pPr>
              <w:spacing w:line="252" w:lineRule="auto"/>
              <w:rPr>
                <w:rFonts w:cs="Aptos"/>
                <w:sz w:val="18"/>
                <w:szCs w:val="18"/>
              </w:rPr>
            </w:pPr>
            <w:r>
              <w:rPr>
                <w:rFonts w:cs="Aptos"/>
                <w:sz w:val="15"/>
                <w:szCs w:val="15"/>
              </w:rPr>
              <w:t>Europe</w:t>
            </w:r>
          </w:p>
        </w:tc>
        <w:tc>
          <w:tcPr>
            <w:tcW w:w="1134" w:type="dxa"/>
            <w:vAlign w:val="center"/>
          </w:tcPr>
          <w:p>
            <w:r>
              <w:t>~EUR 15-20B flour milling turnover (EU-27); ~35 Mt flour/yr; ~25% of world flour consumption</w:t>
            </w:r>
          </w:p>
        </w:tc>
        <w:tc>
          <w:tcPr>
            <w:tcW w:w="1134" w:type="dxa"/>
            <w:vAlign w:val="center"/>
          </w:tcPr>
          <w:p w14:paraId="59BCC229" w14:textId="77777777" w:rsidR="00A26BD9" w:rsidRDefault="00000000">
            <w:pPr>
              <w:spacing w:line="252" w:lineRule="auto"/>
              <w:rPr>
                <w:rFonts w:cs="Aptos"/>
                <w:sz w:val="18"/>
                <w:szCs w:val="18"/>
              </w:rPr>
            </w:pPr>
            <w:r>
              <w:rPr>
                <w:rFonts w:cs="Aptos"/>
                <w:sz w:val="15"/>
                <w:szCs w:val="15"/>
              </w:rPr>
              <w:t>Asia</w:t>
            </w:r>
          </w:p>
        </w:tc>
        <w:tc>
          <w:tcPr>
            <w:tcW w:w="1134" w:type="dxa"/>
            <w:vAlign w:val="center"/>
          </w:tcPr>
          <w:p>
            <w:r>
              <w:t>largest region, ~45% of world flour consumption; China ~60-65 Mt flour (2,000+ mills), India very large but mostly small chakki mills; ~$60-80B flour value</w:t>
            </w:r>
          </w:p>
        </w:tc>
      </w:tr>
      <w:tr w:rsidR="00A26BD9" w14:paraId="2C19B988" w14:textId="77777777">
        <w:trPr>
          <w:cantSplit/>
          <w:trHeight w:val="240"/>
        </w:trPr>
        <w:tc>
          <w:tcPr>
            <w:tcW w:w="1134" w:type="dxa"/>
            <w:vAlign w:val="center"/>
          </w:tcPr>
          <w:p w14:paraId="03A360EF" w14:textId="77777777" w:rsidR="00A26BD9" w:rsidRDefault="00000000">
            <w:pPr>
              <w:spacing w:line="252" w:lineRule="auto"/>
              <w:rPr>
                <w:rFonts w:cs="Aptos"/>
                <w:sz w:val="18"/>
                <w:szCs w:val="18"/>
              </w:rPr>
            </w:pPr>
            <w:r>
              <w:rPr>
                <w:rFonts w:cs="Aptos"/>
                <w:sz w:val="15"/>
                <w:szCs w:val="15"/>
              </w:rPr>
              <w:t>America</w:t>
            </w:r>
          </w:p>
        </w:tc>
        <w:tc>
          <w:tcPr>
            <w:tcW w:w="1134" w:type="dxa"/>
            <w:vAlign w:val="center"/>
          </w:tcPr>
          <w:p>
            <w:r>
              <w:t>~12% of world flour consumption; US ~20-21 Mt flour, highly consolidated; ~$25-35B flour value incl. LatAm</w:t>
            </w:r>
          </w:p>
        </w:tc>
        <w:tc>
          <w:tcPr>
            <w:tcW w:w="1134" w:type="dxa"/>
            <w:vAlign w:val="center"/>
          </w:tcPr>
          <w:p w14:paraId="495F852B" w14:textId="77777777" w:rsidR="00A26BD9" w:rsidRDefault="00000000">
            <w:pPr>
              <w:spacing w:line="252" w:lineRule="auto"/>
              <w:rPr>
                <w:rFonts w:cs="Aptos"/>
                <w:sz w:val="18"/>
                <w:szCs w:val="18"/>
              </w:rPr>
            </w:pPr>
            <w:r>
              <w:rPr>
                <w:rFonts w:cs="Aptos"/>
                <w:sz w:val="15"/>
                <w:szCs w:val="15"/>
              </w:rPr>
              <w:t>Africa</w:t>
            </w:r>
          </w:p>
        </w:tc>
        <w:tc>
          <w:tcPr>
            <w:tcW w:w="1134" w:type="dxa"/>
            <w:vAlign w:val="center"/>
          </w:tcPr>
          <w:p>
            <w:r>
              <w:t>~15% of world flour consumption, fastest growth; mix of large industrial mills (Egypt, Nigeria) and small mills; ~$20-30B flour value</w:t>
            </w:r>
          </w:p>
        </w:tc>
      </w:tr>
    </w:tbl>
    <w:p w14:paraId="71EF5186" w14:textId="77777777" w:rsidR="00A26BD9" w:rsidRDefault="00A26BD9">
      <w:pPr>
        <w:rPr>
          <w:rFonts w:cs="Aptos"/>
          <w:sz w:val="8"/>
          <w:szCs w:val="8"/>
        </w:rPr>
      </w:pPr>
    </w:p>
    <w:p w14:paraId="05176796" w14:textId="77777777" w:rsidR="00A26BD9" w:rsidRDefault="00000000">
      <w:pPr>
        <w:keepNext/>
        <w:spacing w:before="110" w:after="30" w:line="264" w:lineRule="auto"/>
        <w:rPr>
          <w:rFonts w:cs="Aptos"/>
          <w:sz w:val="24"/>
        </w:rPr>
      </w:pPr>
      <w:r>
        <w:rPr>
          <w:rFonts w:cs="Aptos"/>
          <w:b/>
          <w:bCs/>
          <w:sz w:val="24"/>
        </w:rPr>
        <w:t>Target customers</w:t>
      </w:r>
    </w:p>
    <w:p w14:paraId="6CBF5DFE" w14:textId="77777777" w:rsidR="00A26BD9" w:rsidRDefault="00A26BD9">
      <w:pPr>
        <w:spacing w:line="276" w:lineRule="auto"/>
        <w:rPr>
          <w:rFonts w:cs="Aptos"/>
          <w:sz w:val="20"/>
          <w:szCs w:val="20"/>
        </w:rPr>
      </w:pPr>
      <w:r>
        <w:t>Very fragmented globally but easy to segment. Europe has &gt;3,000 mills (mostly SMEs) reachable via the European Flour Millers association and national bodies; the US is extremely consolidated (~160 wheat mills, top 21 companies = 96% capacity) so a handful of groups (Ardent, ADM, Mennel...) unlock the market; China has 2,000+ mills incl. ~300 large modern plants; India has ~29,000 mostly small chakki mills, hard to reach. Realistic buyers are millers making whole-grain flour, stabilized bran/germ, and oat/rice millers - roughly 10-20% of mills care about stabilization today.</w:t>
      </w:r>
    </w:p>
    <w:p w14:paraId="0485BB6F" w14:textId="77777777" w:rsidR="00A26BD9" w:rsidRDefault="00A26BD9">
      <w:pPr>
        <w:spacing w:line="276" w:lineRule="auto"/>
        <w:rPr>
          <w:rFonts w:cs="Aptos"/>
          <w:sz w:val="20"/>
          <w:szCs w:val="20"/>
        </w:rPr>
      </w:pPr>
    </w:p>
    <w:tbl>
      <w:tblPr>
        <w:tblW w:w="453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20" w:type="dxa"/>
          <w:left w:w="80" w:type="dxa"/>
          <w:bottom w:w="20" w:type="dxa"/>
          <w:right w:w="80" w:type="dxa"/>
        </w:tblCellMar>
        <w:tblLook w:val="04A0" w:firstRow="1" w:lastRow="0" w:firstColumn="1" w:lastColumn="0" w:noHBand="0" w:noVBand="1"/>
      </w:tblPr>
      <w:tblGrid>
        <w:gridCol w:w="1413"/>
        <w:gridCol w:w="1701"/>
        <w:gridCol w:w="1422"/>
      </w:tblGrid>
      <w:tr w:rsidR="00A26BD9" w14:paraId="2D0236BD" w14:textId="77777777" w:rsidTr="00374BD6">
        <w:trPr>
          <w:cantSplit/>
          <w:trHeight w:val="240"/>
          <w:tblHeader/>
        </w:trPr>
        <w:tc>
          <w:tcPr>
            <w:tcW w:w="1413" w:type="dxa"/>
            <w:shd w:val="clear" w:color="auto" w:fill="F3F4F6"/>
            <w:vAlign w:val="center"/>
          </w:tcPr>
          <w:p w14:paraId="19744301" w14:textId="77777777" w:rsidR="00A26BD9" w:rsidRDefault="00000000">
            <w:pPr>
              <w:spacing w:line="252" w:lineRule="auto"/>
              <w:rPr>
                <w:rFonts w:cs="Aptos"/>
                <w:sz w:val="18"/>
                <w:szCs w:val="18"/>
              </w:rPr>
            </w:pPr>
            <w:r>
              <w:rPr>
                <w:rFonts w:cs="Aptos"/>
                <w:b/>
                <w:bCs/>
                <w:color w:val="374151"/>
                <w:sz w:val="15"/>
                <w:szCs w:val="15"/>
              </w:rPr>
              <w:t>Customer size</w:t>
            </w:r>
          </w:p>
        </w:tc>
        <w:tc>
          <w:tcPr>
            <w:tcW w:w="1701" w:type="dxa"/>
            <w:shd w:val="clear" w:color="auto" w:fill="F3F4F6"/>
            <w:vAlign w:val="center"/>
          </w:tcPr>
          <w:p w14:paraId="1C3B4140" w14:textId="77777777" w:rsidR="00A26BD9" w:rsidRDefault="00000000">
            <w:pPr>
              <w:spacing w:line="252" w:lineRule="auto"/>
              <w:rPr>
                <w:rFonts w:cs="Aptos"/>
                <w:sz w:val="18"/>
                <w:szCs w:val="18"/>
              </w:rPr>
            </w:pPr>
            <w:r>
              <w:rPr>
                <w:rFonts w:cs="Aptos"/>
                <w:b/>
                <w:bCs/>
                <w:color w:val="374151"/>
                <w:sz w:val="15"/>
                <w:szCs w:val="15"/>
              </w:rPr>
              <w:t>Approx. number</w:t>
            </w:r>
          </w:p>
        </w:tc>
        <w:tc>
          <w:tcPr>
            <w:tcW w:w="1422" w:type="dxa"/>
            <w:shd w:val="clear" w:color="auto" w:fill="F3F4F6"/>
            <w:vAlign w:val="center"/>
          </w:tcPr>
          <w:p w14:paraId="2842FD75" w14:textId="18ABECDE" w:rsidR="00A26BD9" w:rsidRDefault="00000000">
            <w:pPr>
              <w:spacing w:line="252" w:lineRule="auto"/>
              <w:rPr>
                <w:rFonts w:cs="Aptos"/>
                <w:sz w:val="18"/>
                <w:szCs w:val="18"/>
              </w:rPr>
            </w:pPr>
            <w:r>
              <w:rPr>
                <w:rFonts w:cs="Aptos"/>
                <w:b/>
                <w:bCs/>
                <w:color w:val="374151"/>
                <w:sz w:val="15"/>
                <w:szCs w:val="15"/>
              </w:rPr>
              <w:t>Market share</w:t>
            </w:r>
            <w:r w:rsidR="00374BD6">
              <w:rPr>
                <w:rFonts w:cs="Aptos"/>
                <w:b/>
                <w:bCs/>
                <w:color w:val="374151"/>
                <w:sz w:val="15"/>
                <w:szCs w:val="15"/>
              </w:rPr>
              <w:t xml:space="preserve"> (in %)</w:t>
            </w:r>
          </w:p>
        </w:tc>
      </w:tr>
      <w:tr w:rsidR="00A26BD9" w14:paraId="03BCDF12" w14:textId="77777777" w:rsidTr="00374BD6">
        <w:trPr>
          <w:cantSplit/>
          <w:trHeight w:val="240"/>
        </w:trPr>
        <w:tc>
          <w:tcPr>
            <w:tcW w:w="1413" w:type="dxa"/>
            <w:vAlign w:val="center"/>
          </w:tcPr>
          <w:p w14:paraId="48FAC434" w14:textId="77777777" w:rsidR="00A26BD9" w:rsidRPr="00374BD6" w:rsidRDefault="00000000">
            <w:pPr>
              <w:spacing w:line="252" w:lineRule="auto"/>
              <w:rPr>
                <w:rFonts w:cs="Aptos"/>
                <w:b/>
                <w:bCs/>
                <w:sz w:val="18"/>
                <w:szCs w:val="18"/>
              </w:rPr>
            </w:pPr>
            <w:r w:rsidRPr="00374BD6">
              <w:rPr>
                <w:rFonts w:cs="Aptos"/>
                <w:b/>
                <w:bCs/>
                <w:sz w:val="15"/>
                <w:szCs w:val="15"/>
              </w:rPr>
              <w:t>Large</w:t>
            </w:r>
          </w:p>
        </w:tc>
        <w:tc>
          <w:tcPr>
            <w:tcW w:w="1701" w:type="dxa"/>
            <w:vAlign w:val="center"/>
          </w:tcPr>
          <w:p>
            <w:r>
              <w:t>~500-1,000 large industrial mills worldwide (e.g. China ~300 large plants; US top ~160 mills; European groups)</w:t>
            </w:r>
          </w:p>
        </w:tc>
        <w:tc>
          <w:tcPr>
            <w:tcW w:w="1422" w:type="dxa"/>
            <w:vAlign w:val="center"/>
          </w:tcPr>
          <w:p>
            <w:r>
              <w:t>~60-70% of world flour volume; near-total share in US (96% via top 21 cos.)</w:t>
            </w:r>
          </w:p>
        </w:tc>
      </w:tr>
      <w:tr w:rsidR="00A26BD9" w14:paraId="59E14C2E" w14:textId="77777777" w:rsidTr="00374BD6">
        <w:trPr>
          <w:cantSplit/>
          <w:trHeight w:val="240"/>
        </w:trPr>
        <w:tc>
          <w:tcPr>
            <w:tcW w:w="1413" w:type="dxa"/>
            <w:vAlign w:val="center"/>
          </w:tcPr>
          <w:p w14:paraId="7FC67633" w14:textId="77777777" w:rsidR="00A26BD9" w:rsidRPr="00374BD6" w:rsidRDefault="00000000">
            <w:pPr>
              <w:spacing w:line="252" w:lineRule="auto"/>
              <w:rPr>
                <w:rFonts w:cs="Aptos"/>
                <w:b/>
                <w:bCs/>
                <w:sz w:val="18"/>
                <w:szCs w:val="18"/>
              </w:rPr>
            </w:pPr>
            <w:r w:rsidRPr="00374BD6">
              <w:rPr>
                <w:rFonts w:cs="Aptos"/>
                <w:b/>
                <w:bCs/>
                <w:sz w:val="15"/>
                <w:szCs w:val="15"/>
              </w:rPr>
              <w:t>Medium</w:t>
            </w:r>
          </w:p>
        </w:tc>
        <w:tc>
          <w:tcPr>
            <w:tcW w:w="1701" w:type="dxa"/>
            <w:vAlign w:val="center"/>
          </w:tcPr>
          <w:p>
            <w:r>
              <w:t>~2,000-4,000 mid-size mills (bulk of EU-27's &gt;3,000, Turkey ~680, Mexico ~1,100)</w:t>
            </w:r>
          </w:p>
        </w:tc>
        <w:tc>
          <w:tcPr>
            <w:tcW w:w="1422" w:type="dxa"/>
            <w:vAlign w:val="center"/>
          </w:tcPr>
          <w:p>
            <w:r>
              <w:t>~20-30% of volume; strongest in Europe</w:t>
            </w:r>
          </w:p>
        </w:tc>
      </w:tr>
      <w:tr w:rsidR="00A26BD9" w14:paraId="67D34661" w14:textId="77777777" w:rsidTr="00374BD6">
        <w:trPr>
          <w:cantSplit/>
          <w:trHeight w:val="240"/>
        </w:trPr>
        <w:tc>
          <w:tcPr>
            <w:tcW w:w="1413" w:type="dxa"/>
            <w:vAlign w:val="center"/>
          </w:tcPr>
          <w:p w14:paraId="33346B8F" w14:textId="77777777" w:rsidR="00A26BD9" w:rsidRPr="00374BD6" w:rsidRDefault="00000000">
            <w:pPr>
              <w:spacing w:line="252" w:lineRule="auto"/>
              <w:rPr>
                <w:rFonts w:cs="Aptos"/>
                <w:b/>
                <w:bCs/>
                <w:sz w:val="18"/>
                <w:szCs w:val="18"/>
              </w:rPr>
            </w:pPr>
            <w:r w:rsidRPr="00374BD6">
              <w:rPr>
                <w:rFonts w:cs="Aptos"/>
                <w:b/>
                <w:bCs/>
                <w:sz w:val="15"/>
                <w:szCs w:val="15"/>
              </w:rPr>
              <w:t>Small</w:t>
            </w:r>
          </w:p>
        </w:tc>
        <w:tc>
          <w:tcPr>
            <w:tcW w:w="1701" w:type="dxa"/>
            <w:vAlign w:val="center"/>
          </w:tcPr>
          <w:p>
            <w:r>
              <w:t>~30,000+ small/chakki mills, concentrated in India (~29k) and Africa</w:t>
            </w:r>
          </w:p>
        </w:tc>
        <w:tc>
          <w:tcPr>
            <w:tcW w:w="1422" w:type="dxa"/>
            <w:vAlign w:val="center"/>
          </w:tcPr>
          <w:p>
            <w:r>
              <w:t>~10-15% of volume; low willingness/ability to pay</w:t>
            </w:r>
          </w:p>
        </w:tc>
      </w:tr>
    </w:tbl>
    <w:p w14:paraId="2F3FEF93" w14:textId="77777777" w:rsidR="00A26BD9" w:rsidRDefault="00A26BD9">
      <w:pPr>
        <w:rPr>
          <w:rFonts w:cs="Aptos"/>
          <w:sz w:val="8"/>
          <w:szCs w:val="8"/>
        </w:rPr>
      </w:pPr>
    </w:p>
    <w:p w14:paraId="42D6A94D" w14:textId="77777777" w:rsidR="00A26BD9" w:rsidRDefault="00000000">
      <w:pPr>
        <w:keepNext/>
        <w:spacing w:before="110" w:after="30" w:line="264" w:lineRule="auto"/>
        <w:rPr>
          <w:rFonts w:cs="Aptos"/>
          <w:sz w:val="24"/>
        </w:rPr>
      </w:pPr>
      <w:r>
        <w:rPr>
          <w:rFonts w:cs="Aptos"/>
          <w:b/>
          <w:bCs/>
          <w:sz w:val="24"/>
        </w:rPr>
        <w:t>Players offering a solution today</w:t>
      </w:r>
    </w:p>
    <w:p w14:paraId="76C37334" w14:textId="77777777" w:rsidR="00A26BD9" w:rsidRDefault="00A26BD9">
      <w:pPr>
        <w:spacing w:line="276" w:lineRule="auto"/>
        <w:rPr>
          <w:rFonts w:cs="Aptos"/>
          <w:sz w:val="20"/>
          <w:szCs w:val="20"/>
        </w:rPr>
      </w:pPr>
      <w:r>
        <w:t>Supplier side is split between a few dominant milling OEMs and niche thermal specialists. Bühler dominates hydrothermal stabilization (Granotherm kiln) with Satake, Alapala, Ocrim, Streckel &amp; Schrader offering similar steam/kiln systems. Rice-bran stabilization in Asia is dominated by dry-extrusion suppliers (Insta-Pro, Clextral, local Indian/Chinese OEMs). Dedicated industrial-microwave suppliers (SAIREM, Pueschner, Chinese tunnel makers) exist but offer almost no milling-specific enzyme-inactivation product - the steam-free electric niche is essentially open.</w:t>
      </w:r>
    </w:p>
    <w:p w14:paraId="43279371" w14:textId="77777777" w:rsidR="00A26BD9" w:rsidRDefault="00A26BD9">
      <w:pPr>
        <w:spacing w:line="276" w:lineRule="auto"/>
        <w:rPr>
          <w:rFonts w:cs="Aptos"/>
          <w:sz w:val="20"/>
          <w:szCs w:val="20"/>
        </w:rPr>
      </w:pPr>
    </w:p>
    <w:tbl>
      <w:tblPr>
        <w:tblW w:w="4673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20" w:type="dxa"/>
          <w:left w:w="80" w:type="dxa"/>
          <w:bottom w:w="20" w:type="dxa"/>
          <w:right w:w="80" w:type="dxa"/>
        </w:tblCellMar>
        <w:tblLook w:val="04A0" w:firstRow="1" w:lastRow="0" w:firstColumn="1" w:lastColumn="0" w:noHBand="0" w:noVBand="1"/>
      </w:tblPr>
      <w:tblGrid>
        <w:gridCol w:w="1467"/>
        <w:gridCol w:w="1734"/>
        <w:gridCol w:w="1472"/>
      </w:tblGrid>
      <w:tr w:rsidR="00A26BD9" w14:paraId="6905B136" w14:textId="77777777" w:rsidTr="00374BD6">
        <w:trPr>
          <w:cantSplit/>
          <w:trHeight w:val="240"/>
          <w:tblHeader/>
        </w:trPr>
        <w:tc>
          <w:tcPr>
            <w:tcW w:w="1467" w:type="dxa"/>
            <w:shd w:val="clear" w:color="auto" w:fill="F3F4F6"/>
            <w:vAlign w:val="center"/>
          </w:tcPr>
          <w:p w14:paraId="60503223" w14:textId="77777777" w:rsidR="00A26BD9" w:rsidRDefault="00000000">
            <w:pPr>
              <w:spacing w:line="252" w:lineRule="auto"/>
              <w:rPr>
                <w:rFonts w:cs="Aptos"/>
                <w:sz w:val="18"/>
                <w:szCs w:val="18"/>
              </w:rPr>
            </w:pPr>
            <w:r>
              <w:rPr>
                <w:rFonts w:cs="Aptos"/>
                <w:b/>
                <w:bCs/>
                <w:color w:val="374151"/>
                <w:sz w:val="15"/>
                <w:szCs w:val="15"/>
              </w:rPr>
              <w:t>Player</w:t>
            </w:r>
          </w:p>
        </w:tc>
        <w:tc>
          <w:tcPr>
            <w:tcW w:w="1734" w:type="dxa"/>
            <w:shd w:val="clear" w:color="auto" w:fill="F3F4F6"/>
            <w:vAlign w:val="center"/>
          </w:tcPr>
          <w:p w14:paraId="7FA04B9E" w14:textId="77777777" w:rsidR="00A26BD9" w:rsidRDefault="00000000">
            <w:pPr>
              <w:spacing w:line="252" w:lineRule="auto"/>
              <w:rPr>
                <w:rFonts w:cs="Aptos"/>
                <w:sz w:val="18"/>
                <w:szCs w:val="18"/>
              </w:rPr>
            </w:pPr>
            <w:r>
              <w:rPr>
                <w:rFonts w:cs="Aptos"/>
                <w:b/>
                <w:bCs/>
                <w:color w:val="374151"/>
                <w:sz w:val="15"/>
                <w:szCs w:val="15"/>
              </w:rPr>
              <w:t>Type of solution</w:t>
            </w:r>
          </w:p>
        </w:tc>
        <w:tc>
          <w:tcPr>
            <w:tcW w:w="1472" w:type="dxa"/>
            <w:shd w:val="clear" w:color="auto" w:fill="F3F4F6"/>
            <w:vAlign w:val="center"/>
          </w:tcPr>
          <w:p w14:paraId="4381E39C" w14:textId="0140A43D" w:rsidR="00A26BD9" w:rsidRDefault="00000000">
            <w:pPr>
              <w:spacing w:line="252" w:lineRule="auto"/>
              <w:rPr>
                <w:rFonts w:cs="Aptos"/>
                <w:sz w:val="18"/>
                <w:szCs w:val="18"/>
              </w:rPr>
            </w:pPr>
            <w:r>
              <w:rPr>
                <w:rFonts w:cs="Aptos"/>
                <w:b/>
                <w:bCs/>
                <w:color w:val="374151"/>
                <w:sz w:val="15"/>
                <w:szCs w:val="15"/>
              </w:rPr>
              <w:t>Market share</w:t>
            </w:r>
            <w:r w:rsidR="00374BD6">
              <w:rPr>
                <w:rFonts w:cs="Aptos"/>
                <w:b/>
                <w:bCs/>
                <w:color w:val="374151"/>
                <w:sz w:val="15"/>
                <w:szCs w:val="15"/>
              </w:rPr>
              <w:t xml:space="preserve"> (in %)</w:t>
            </w:r>
          </w:p>
        </w:tc>
      </w:tr>
      <w:tr w:rsidR="00374BD6" w14:paraId="47C2922C" w14:textId="77777777" w:rsidTr="00374BD6">
        <w:trPr>
          <w:cantSplit/>
          <w:trHeight w:val="240"/>
        </w:trPr>
        <w:tc>
          <w:tcPr>
            <w:tcW w:w="1467" w:type="dxa"/>
            <w:vAlign w:val="center"/>
          </w:tcPr>
          <w:p>
            <w:r>
              <w:t>Large (Buehler, Satake, Alapala, Ocrim)</w:t>
            </w:r>
          </w:p>
        </w:tc>
        <w:tc>
          <w:tcPr>
            <w:tcW w:w="1734" w:type="dxa"/>
            <w:vAlign w:val="center"/>
          </w:tcPr>
          <w:p>
            <w:r>
              <w:t>Steam/hydrothermal kilns and stabilization lines integrated in new mills (Granotherm DNCB, oat kilners)</w:t>
            </w:r>
          </w:p>
        </w:tc>
        <w:tc>
          <w:tcPr>
            <w:tcW w:w="1472" w:type="dxa"/>
            <w:vAlign w:val="center"/>
          </w:tcPr>
          <w:p>
            <w:r>
              <w:t>~60-70% of installed stabilization capacity, est.</w:t>
            </w:r>
          </w:p>
        </w:tc>
      </w:tr>
      <w:tr w:rsidR="00374BD6" w14:paraId="7A7D589E" w14:textId="77777777" w:rsidTr="00374BD6">
        <w:trPr>
          <w:cantSplit/>
          <w:trHeight w:val="240"/>
        </w:trPr>
        <w:tc>
          <w:tcPr>
            <w:tcW w:w="1467" w:type="dxa"/>
            <w:vAlign w:val="center"/>
          </w:tcPr>
          <w:p>
            <w:r>
              <w:t>Medium (Revtech, Streckel &amp; Schrader, Clextral/Insta-Pro/Wenger extrusion, Vomm)</w:t>
            </w:r>
          </w:p>
        </w:tc>
        <w:tc>
          <w:tcPr>
            <w:tcW w:w="1734" w:type="dxa"/>
            <w:vAlign w:val="center"/>
          </w:tcPr>
          <w:p>
            <w:r>
              <w:t>Specialist continuous stabilizers (vibratory towers, kilns) and dry extruders/expanders for bran/oilseed stabilization</w:t>
            </w:r>
          </w:p>
        </w:tc>
        <w:tc>
          <w:tcPr>
            <w:tcW w:w="1472" w:type="dxa"/>
            <w:vAlign w:val="center"/>
          </w:tcPr>
          <w:p>
            <w:r>
              <w:t>~25-30%, est.</w:t>
            </w:r>
          </w:p>
        </w:tc>
      </w:tr>
      <w:tr w:rsidR="00374BD6" w14:paraId="3C96A5E1" w14:textId="77777777" w:rsidTr="00374BD6">
        <w:trPr>
          <w:cantSplit/>
          <w:trHeight w:val="240"/>
        </w:trPr>
        <w:tc>
          <w:tcPr>
            <w:tcW w:w="1467" w:type="dxa"/>
            <w:vAlign w:val="center"/>
          </w:tcPr>
          <w:p>
            <w:r>
              <w:t>Small (SAIREM, Pueschner, AMTek, Chinese microwave OEMs)</w:t>
            </w:r>
          </w:p>
        </w:tc>
        <w:tc>
          <w:tcPr>
            <w:tcW w:w="1734" w:type="dxa"/>
            <w:vAlign w:val="center"/>
          </w:tcPr>
          <w:p>
            <w:r>
              <w:t>Generic industrial microwave/dielectric heating equipment, mostly dryers and tempering - little enzyme-inactivation-specific product for mills</w:t>
            </w:r>
          </w:p>
        </w:tc>
        <w:tc>
          <w:tcPr>
            <w:tcW w:w="1472" w:type="dxa"/>
            <w:vAlign w:val="center"/>
          </w:tcPr>
          <w:p>
            <w:r>
              <w:t>&lt;10%, est.</w:t>
            </w:r>
          </w:p>
        </w:tc>
      </w:tr>
    </w:tbl>
    <w:p w14:paraId="7A667490" w14:textId="77777777" w:rsidR="00A26BD9" w:rsidRDefault="00A26BD9">
      <w:pPr>
        <w:rPr>
          <w:rFonts w:cs="Aptos"/>
          <w:sz w:val="8"/>
          <w:szCs w:val="8"/>
        </w:rPr>
      </w:pPr>
    </w:p>
    <w:p w14:paraId="4792B19F" w14:textId="77777777" w:rsidR="00A26BD9" w:rsidRDefault="00000000">
      <w:pPr>
        <w:keepNext/>
        <w:spacing w:before="110" w:after="30" w:line="264" w:lineRule="auto"/>
        <w:rPr>
          <w:rFonts w:cs="Aptos"/>
          <w:sz w:val="24"/>
        </w:rPr>
      </w:pPr>
      <w:r>
        <w:rPr>
          <w:rFonts w:cs="Aptos"/>
          <w:b/>
          <w:bCs/>
          <w:sz w:val="24"/>
        </w:rPr>
        <w:t>Regulation</w:t>
      </w:r>
    </w:p>
    <w:tbl>
      <w:tblPr>
        <w:tblW w:w="635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20" w:type="dxa"/>
          <w:left w:w="80" w:type="dxa"/>
          <w:bottom w:w="20" w:type="dxa"/>
          <w:right w:w="80" w:type="dxa"/>
        </w:tblCellMar>
        <w:tblLook w:val="04A0" w:firstRow="1" w:lastRow="0" w:firstColumn="1" w:lastColumn="0" w:noHBand="0" w:noVBand="1"/>
      </w:tblPr>
      <w:tblGrid>
        <w:gridCol w:w="1656"/>
        <w:gridCol w:w="1380"/>
        <w:gridCol w:w="3314"/>
      </w:tblGrid>
      <w:tr w:rsidR="00A26BD9" w14:paraId="66DDEBB9" w14:textId="77777777">
        <w:trPr>
          <w:cantSplit/>
          <w:trHeight w:val="240"/>
          <w:tblHeader/>
        </w:trPr>
        <w:tc>
          <w:tcPr>
            <w:tcW w:w="1656" w:type="dxa"/>
            <w:shd w:val="clear" w:color="auto" w:fill="F3F4F6"/>
            <w:vAlign w:val="center"/>
          </w:tcPr>
          <w:p w14:paraId="5FD78D6A" w14:textId="77777777" w:rsidR="00A26BD9" w:rsidRDefault="00000000">
            <w:pPr>
              <w:spacing w:line="252" w:lineRule="auto"/>
              <w:rPr>
                <w:rFonts w:cs="Aptos"/>
                <w:sz w:val="18"/>
                <w:szCs w:val="18"/>
              </w:rPr>
            </w:pPr>
            <w:r>
              <w:rPr>
                <w:rFonts w:cs="Aptos"/>
                <w:b/>
                <w:bCs/>
                <w:color w:val="374151"/>
                <w:sz w:val="15"/>
                <w:szCs w:val="15"/>
              </w:rPr>
              <w:t>Regulation</w:t>
            </w:r>
          </w:p>
        </w:tc>
        <w:tc>
          <w:tcPr>
            <w:tcW w:w="1380" w:type="dxa"/>
            <w:shd w:val="clear" w:color="auto" w:fill="F3F4F6"/>
            <w:vAlign w:val="center"/>
          </w:tcPr>
          <w:p w14:paraId="6B58F8CB" w14:textId="77777777" w:rsidR="00A26BD9" w:rsidRDefault="00000000">
            <w:pPr>
              <w:spacing w:line="252" w:lineRule="auto"/>
              <w:rPr>
                <w:rFonts w:cs="Aptos"/>
                <w:sz w:val="18"/>
                <w:szCs w:val="18"/>
              </w:rPr>
            </w:pPr>
            <w:r>
              <w:rPr>
                <w:rFonts w:cs="Aptos"/>
                <w:b/>
                <w:bCs/>
                <w:color w:val="374151"/>
                <w:sz w:val="15"/>
                <w:szCs w:val="15"/>
              </w:rPr>
              <w:t>Jurisdiction</w:t>
            </w:r>
          </w:p>
        </w:tc>
        <w:tc>
          <w:tcPr>
            <w:tcW w:w="3314" w:type="dxa"/>
            <w:shd w:val="clear" w:color="auto" w:fill="F3F4F6"/>
            <w:vAlign w:val="center"/>
          </w:tcPr>
          <w:p w14:paraId="4F4D630E" w14:textId="77777777" w:rsidR="00A26BD9" w:rsidRDefault="00000000">
            <w:pPr>
              <w:spacing w:line="252" w:lineRule="auto"/>
              <w:rPr>
                <w:rFonts w:cs="Aptos"/>
                <w:sz w:val="18"/>
                <w:szCs w:val="18"/>
              </w:rPr>
            </w:pPr>
            <w:r>
              <w:rPr>
                <w:rFonts w:cs="Aptos"/>
                <w:b/>
                <w:bCs/>
                <w:color w:val="374151"/>
                <w:sz w:val="15"/>
                <w:szCs w:val="15"/>
              </w:rPr>
              <w:t>What it means for us</w:t>
            </w:r>
          </w:p>
        </w:tc>
      </w:tr>
      <w:tr w:rsidR="00A26BD9" w14:paraId="6FD2D50A" w14:textId="77777777">
        <w:trPr>
          <w:cantSplit/>
          <w:trHeight w:val="240"/>
        </w:trPr>
        <w:tc>
          <w:tcPr>
            <w:tcW w:w="1656" w:type="dxa"/>
            <w:vAlign w:val="center"/>
          </w:tcPr>
          <w:p>
            <w:r>
              <w:t>ATEX Directive 2014/34/EU + ATEX workplace Directive 1999/92/EC (UK: DSEAR)</w:t>
            </w:r>
          </w:p>
        </w:tc>
        <w:tc>
          <w:tcPr>
            <w:tcW w:w="1380" w:type="dxa"/>
            <w:vAlign w:val="center"/>
          </w:tcPr>
          <w:p>
            <w:r>
              <w:t>EU/UK</w:t>
            </w:r>
          </w:p>
        </w:tc>
        <w:tc>
          <w:tcPr>
            <w:tcW w:w="3314" w:type="dxa"/>
            <w:vAlign w:val="center"/>
          </w:tcPr>
          <w:p>
            <w:r>
              <w:t>Flour/bran dust creates Zone 20-22 explosive atmospheres inside mills; any electric/microwave machine installed in a milling line must be ATEX-certified or placed outside zoned areas - adds design cost and is a real barrier for a small new OEM.</w:t>
            </w:r>
          </w:p>
        </w:tc>
      </w:tr>
      <w:tr w:rsidR="00A26BD9" w14:paraId="6FD2D50A" w14:textId="77777777">
        <w:trPr>
          <w:cantSplit/>
          <w:trHeight w:val="240"/>
        </w:trPr>
        <w:tc>
          <w:tcPr>
            <w:tcW w:w="1656" w:type="dxa"/>
            <w:vAlign w:val="center"/>
          </w:tcPr>
          <w:p>
            <w:r>
              <w:t>Regulation (EC) 852/2004 / FDA FSMA preventive controls</w:t>
            </w:r>
          </w:p>
        </w:tc>
        <w:tc>
          <w:tcPr>
            <w:tcW w:w="1380" w:type="dxa"/>
            <w:vAlign w:val="center"/>
          </w:tcPr>
          <w:p>
            <w:r>
              <w:t>EU / US</w:t>
            </w:r>
          </w:p>
        </w:tc>
        <w:tc>
          <w:tcPr>
            <w:tcW w:w="3314" w:type="dxa"/>
            <w:vAlign w:val="center"/>
          </w:tcPr>
          <w:p>
            <w:r>
              <w:t>Thermal treatment used as a process control must be validated and monitored; a microwave line needs documented uniform enzyme-inactivation (peroxidase often used as marker) across the product bed.</w:t>
            </w:r>
          </w:p>
        </w:tc>
      </w:tr>
      <w:tr w:rsidR="00A26BD9" w14:paraId="6FD2D50A" w14:textId="77777777">
        <w:trPr>
          <w:cantSplit/>
          <w:trHeight w:val="240"/>
        </w:trPr>
        <w:tc>
          <w:tcPr>
            <w:tcW w:w="1656" w:type="dxa"/>
            <w:vAlign w:val="center"/>
          </w:tcPr>
          <w:p>
            <w:r>
              <w:t>Machinery Directive 2006/42/EC + EN 55011 / ISM-band limits</w:t>
            </w:r>
          </w:p>
        </w:tc>
        <w:tc>
          <w:tcPr>
            <w:tcW w:w="1380" w:type="dxa"/>
            <w:vAlign w:val="center"/>
          </w:tcPr>
          <w:p>
            <w:r>
              <w:t>EU</w:t>
            </w:r>
          </w:p>
        </w:tc>
        <w:tc>
          <w:tcPr>
            <w:tcW w:w="3314" w:type="dxa"/>
            <w:vAlign w:val="center"/>
          </w:tcPr>
          <w:p>
            <w:r>
              <w:t>Microwave generators run at 2,450 MHz ISM band; leakage and EMC limits apply; standard CE-marking burden.</w:t>
            </w:r>
          </w:p>
        </w:tc>
      </w:tr>
      <w:tr w:rsidR="00A26BD9" w14:paraId="6FD2D50A" w14:textId="77777777">
        <w:trPr>
          <w:cantSplit/>
          <w:trHeight w:val="240"/>
        </w:trPr>
        <w:tc>
          <w:tcPr>
            <w:tcW w:w="1656" w:type="dxa"/>
            <w:vAlign w:val="center"/>
          </w:tcPr>
          <w:p>
            <w:r>
              <w:t>Novel Food Regulation (EU) 2015/2283</w:t>
            </w:r>
          </w:p>
        </w:tc>
        <w:tc>
          <w:tcPr>
            <w:tcW w:w="1380" w:type="dxa"/>
            <w:vAlign w:val="center"/>
          </w:tcPr>
          <w:p>
            <w:r>
              <w:t>EU</w:t>
            </w:r>
          </w:p>
        </w:tc>
        <w:tc>
          <w:tcPr>
            <w:tcW w:w="3314" w:type="dxa"/>
            <w:vAlign w:val="center"/>
          </w:tcPr>
          <w:p>
            <w:r>
              <w:t>Microwave-treated bran/germ is not considered novel (heating is a conventional process), so no market-authorization hurdle for the treated ingredient.</w:t>
            </w:r>
          </w:p>
        </w:tc>
      </w:tr>
      <w:tr w:rsidR="00A26BD9" w14:paraId="6FD2D50A" w14:textId="77777777">
        <w:trPr>
          <w:cantSplit/>
          <w:trHeight w:val="240"/>
        </w:trPr>
        <w:tc>
          <w:tcPr>
            <w:tcW w:w="1656" w:type="dxa"/>
            <w:vAlign w:val="center"/>
          </w:tcPr>
          <w:p>
            <w:r>
              <w:t>Energy/decarbonization policy (EU ETS, national electrification incentives)</w:t>
            </w:r>
          </w:p>
        </w:tc>
        <w:tc>
          <w:tcPr>
            <w:tcW w:w="1380" w:type="dxa"/>
            <w:vAlign w:val="center"/>
          </w:tcPr>
          <w:p>
            <w:r>
              <w:t>EU</w:t>
            </w:r>
          </w:p>
        </w:tc>
        <w:tc>
          <w:tcPr>
            <w:tcW w:w="3314" w:type="dxa"/>
            <w:vAlign w:val="center"/>
          </w:tcPr>
          <w:p>
            <w:r>
              <w:t>Electrification of industrial heat is subsidized/favored vs. gas-fired steam boilers - tailwind for an all-electric machine, though EU industrial electricity prices (~0.10-0.15 EUR/kWh vs gas ~0.03-0.05 EUR/kWh) hurt OPEX parity.</w:t>
            </w:r>
          </w:p>
        </w:tc>
      </w:tr>
      <w:tr w:rsidR="00A26BD9" w14:paraId="6FD2D50A" w14:textId="77777777">
        <w:trPr>
          <w:cantSplit/>
          <w:trHeight w:val="240"/>
        </w:trPr>
        <w:tc>
          <w:tcPr>
            <w:tcW w:w="1656" w:type="dxa"/>
            <w:vAlign w:val="center"/>
          </w:tcPr>
          <w:p>
            <w:r>
              <w:t>Food-contact materials Reg (EC) 1935/2004</w:t>
            </w:r>
          </w:p>
        </w:tc>
        <w:tc>
          <w:tcPr>
            <w:tcW w:w="1380" w:type="dxa"/>
            <w:vAlign w:val="center"/>
          </w:tcPr>
          <w:p>
            <w:r>
              <w:t>EU</w:t>
            </w:r>
          </w:p>
        </w:tc>
        <w:tc>
          <w:tcPr>
            <w:tcW w:w="3314" w:type="dxa"/>
            <w:vAlign w:val="center"/>
          </w:tcPr>
          <w:p>
            <w:r>
              <w:t>Product-contact surfaces must be compliant stainless/food-grade - same burden as incumbents, no extra hurdle.</w:t>
            </w:r>
          </w:p>
        </w:tc>
      </w:tr>
    </w:tbl>
    <w:p w14:paraId="0643D740" w14:textId="77777777" w:rsidR="00A26BD9" w:rsidRDefault="00A26BD9">
      <w:pPr>
        <w:rPr>
          <w:rFonts w:cs="Aptos"/>
          <w:sz w:val="8"/>
          <w:szCs w:val="8"/>
        </w:rPr>
      </w:pPr>
    </w:p>
    <w:p w14:paraId="73A5540A" w14:textId="77777777" w:rsidR="00A26BD9" w:rsidRDefault="00A26BD9">
      <w:pPr>
        <w:keepNext/>
        <w:spacing w:before="110" w:line="264" w:lineRule="auto"/>
        <w:rPr>
          <w:rFonts w:cs="Aptos"/>
          <w:sz w:val="16"/>
          <w:szCs w:val="16"/>
        </w:rPr>
      </w:pPr>
    </w:p>
    <w:tbl>
      <w:tblPr>
        <w:tblW w:w="9072" w:type="dxa"/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760"/>
        <w:gridCol w:w="740"/>
        <w:gridCol w:w="1236"/>
        <w:gridCol w:w="640"/>
        <w:gridCol w:w="648"/>
        <w:gridCol w:w="512"/>
        <w:gridCol w:w="760"/>
        <w:gridCol w:w="1252"/>
        <w:gridCol w:w="724"/>
        <w:gridCol w:w="640"/>
        <w:gridCol w:w="1160"/>
      </w:tblGrid>
      <w:tr w:rsidR="00A26BD9" w14:paraId="1DA81FDE" w14:textId="77777777">
        <w:trPr>
          <w:cantSplit/>
          <w:trHeight w:hRule="exact" w:val="300"/>
        </w:trPr>
        <w:tc>
          <w:tcPr>
            <w:tcW w:w="9072" w:type="dxa"/>
            <w:gridSpan w:val="11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vAlign w:val="center"/>
          </w:tcPr>
          <w:p w14:paraId="289600C4" w14:textId="77777777" w:rsidR="00A26BD9" w:rsidRDefault="00000000">
            <w:pPr>
              <w:keepNext/>
              <w:keepLines/>
              <w:rPr>
                <w:rFonts w:cs="Aptos"/>
                <w:sz w:val="16"/>
                <w:szCs w:val="16"/>
              </w:rPr>
            </w:pPr>
            <w:r>
              <w:rPr>
                <w:rFonts w:cs="Aptos"/>
                <w:b/>
                <w:bCs/>
                <w:color w:val="4B5563"/>
                <w:sz w:val="16"/>
                <w:szCs w:val="16"/>
              </w:rPr>
              <w:t>Personal input</w:t>
            </w:r>
          </w:p>
        </w:tc>
      </w:tr>
      <w:tr w:rsidR="00A26BD9" w14:paraId="1172A095" w14:textId="77777777">
        <w:trPr>
          <w:cantSplit/>
          <w:trHeight w:hRule="exact" w:val="300"/>
        </w:trPr>
        <w:tc>
          <w:tcPr>
            <w:tcW w:w="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vAlign w:val="center"/>
          </w:tcPr>
          <w:p w14:paraId="55DB581F" w14:textId="77777777" w:rsidR="00A26BD9" w:rsidRDefault="00000000">
            <w:pPr>
              <w:keepNext/>
              <w:keepLines/>
              <w:rPr>
                <w:rFonts w:cs="Aptos"/>
                <w:sz w:val="16"/>
                <w:szCs w:val="16"/>
              </w:rPr>
            </w:pPr>
            <w:r>
              <w:rPr>
                <w:rFonts w:cs="Aptos"/>
                <w:color w:val="4B5563"/>
                <w:sz w:val="16"/>
                <w:szCs w:val="16"/>
              </w:rPr>
              <w:t>Name</w:t>
            </w:r>
          </w:p>
        </w:tc>
        <w:tc>
          <w:tcPr>
            <w:tcW w:w="1976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vAlign w:val="center"/>
          </w:tcPr>
          <w:p>
            <w:r>
              <w:t>Devin (agent draft)</w:t>
            </w:r>
          </w:p>
        </w:tc>
        <w:tc>
          <w:tcPr>
            <w:tcW w:w="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vAlign w:val="center"/>
          </w:tcPr>
          <w:p w14:paraId="0AEEACB0" w14:textId="77777777" w:rsidR="00A26BD9" w:rsidRDefault="00000000">
            <w:pPr>
              <w:keepNext/>
              <w:keepLines/>
              <w:rPr>
                <w:rFonts w:cs="Aptos"/>
                <w:sz w:val="16"/>
                <w:szCs w:val="16"/>
              </w:rPr>
            </w:pPr>
            <w:r>
              <w:rPr>
                <w:rFonts w:cs="Aptos"/>
                <w:color w:val="4B5563"/>
                <w:sz w:val="16"/>
                <w:szCs w:val="16"/>
              </w:rPr>
              <w:t>Date</w:t>
            </w:r>
          </w:p>
        </w:tc>
        <w:tc>
          <w:tcPr>
            <w:tcW w:w="1160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vAlign w:val="center"/>
          </w:tcPr>
          <w:p>
            <w:r>
              <w:t>2026-10-30</w:t>
            </w:r>
          </w:p>
        </w:tc>
        <w:tc>
          <w:tcPr>
            <w:tcW w:w="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vAlign w:val="center"/>
          </w:tcPr>
          <w:p w14:paraId="663F079F" w14:textId="77777777" w:rsidR="00A26BD9" w:rsidRDefault="00000000">
            <w:pPr>
              <w:keepNext/>
              <w:keepLines/>
              <w:rPr>
                <w:rFonts w:cs="Aptos"/>
                <w:sz w:val="16"/>
                <w:szCs w:val="16"/>
              </w:rPr>
            </w:pPr>
            <w:r>
              <w:rPr>
                <w:rFonts w:cs="Aptos"/>
                <w:color w:val="4B5563"/>
                <w:sz w:val="16"/>
                <w:szCs w:val="16"/>
              </w:rPr>
              <w:t>Name</w:t>
            </w:r>
          </w:p>
        </w:tc>
        <w:tc>
          <w:tcPr>
            <w:tcW w:w="1976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vAlign w:val="center"/>
          </w:tcPr>
          <w:p w14:paraId="1B14566D" w14:textId="77777777" w:rsidR="00A26BD9" w:rsidRDefault="00A26BD9">
            <w:pPr>
              <w:keepNext/>
              <w:keepLines/>
              <w:rPr>
                <w:rFonts w:cs="Aptos"/>
                <w:sz w:val="16"/>
                <w:szCs w:val="16"/>
              </w:rPr>
            </w:pPr>
          </w:p>
        </w:tc>
        <w:tc>
          <w:tcPr>
            <w:tcW w:w="6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vAlign w:val="center"/>
          </w:tcPr>
          <w:p w14:paraId="7644559B" w14:textId="77777777" w:rsidR="00A26BD9" w:rsidRDefault="00000000">
            <w:pPr>
              <w:keepNext/>
              <w:keepLines/>
              <w:rPr>
                <w:rFonts w:cs="Aptos"/>
                <w:sz w:val="16"/>
                <w:szCs w:val="16"/>
              </w:rPr>
            </w:pPr>
            <w:r>
              <w:rPr>
                <w:rFonts w:cs="Aptos"/>
                <w:color w:val="4B5563"/>
                <w:sz w:val="16"/>
                <w:szCs w:val="16"/>
              </w:rPr>
              <w:t>Date</w:t>
            </w:r>
          </w:p>
        </w:tc>
        <w:tc>
          <w:tcPr>
            <w:tcW w:w="1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vAlign w:val="center"/>
          </w:tcPr>
          <w:p w14:paraId="36951C7C" w14:textId="77777777" w:rsidR="00A26BD9" w:rsidRDefault="00A26BD9">
            <w:pPr>
              <w:keepNext/>
              <w:keepLines/>
              <w:rPr>
                <w:rFonts w:cs="Aptos"/>
                <w:sz w:val="16"/>
                <w:szCs w:val="16"/>
              </w:rPr>
            </w:pPr>
          </w:p>
        </w:tc>
      </w:tr>
      <w:tr w:rsidR="00A26BD9" w14:paraId="7E2C6984" w14:textId="77777777">
        <w:trPr>
          <w:cantSplit/>
          <w:trHeight w:hRule="exact" w:val="760"/>
        </w:trPr>
        <w:tc>
          <w:tcPr>
            <w:tcW w:w="4536" w:type="dxa"/>
            <w:gridSpan w:val="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75873E4E" w14:textId="77777777" w:rsidR="00A26BD9" w:rsidRDefault="00A26BD9">
            <w:pPr>
              <w:keepNext/>
              <w:keepLines/>
              <w:rPr>
                <w:rFonts w:cs="Aptos"/>
                <w:sz w:val="16"/>
                <w:szCs w:val="16"/>
              </w:rPr>
            </w:pPr>
          </w:p>
        </w:tc>
        <w:tc>
          <w:tcPr>
            <w:tcW w:w="4536" w:type="dxa"/>
            <w:gridSpan w:val="5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</w:tcPr>
          <w:p w14:paraId="606E2FCB" w14:textId="77777777" w:rsidR="00A26BD9" w:rsidRDefault="00A26BD9">
            <w:pPr>
              <w:keepNext/>
              <w:keepLines/>
              <w:rPr>
                <w:rFonts w:cs="Aptos"/>
                <w:sz w:val="16"/>
                <w:szCs w:val="16"/>
              </w:rPr>
            </w:pPr>
          </w:p>
        </w:tc>
      </w:tr>
      <w:tr w:rsidR="00A26BD9" w14:paraId="042053F1" w14:textId="77777777">
        <w:trPr>
          <w:cantSplit/>
          <w:trHeight w:hRule="exact" w:val="140"/>
        </w:trPr>
        <w:tc>
          <w:tcPr>
            <w:tcW w:w="9072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D8E6F1" w14:textId="77777777" w:rsidR="00A26BD9" w:rsidRDefault="00A26BD9">
            <w:pPr>
              <w:keepNext/>
              <w:keepLines/>
              <w:rPr>
                <w:rFonts w:cs="Aptos"/>
                <w:sz w:val="16"/>
                <w:szCs w:val="16"/>
              </w:rPr>
            </w:pPr>
          </w:p>
        </w:tc>
      </w:tr>
      <w:tr w:rsidR="00A26BD9" w14:paraId="77C06467" w14:textId="77777777">
        <w:trPr>
          <w:cantSplit/>
          <w:trHeight w:hRule="exact" w:val="420"/>
        </w:trPr>
        <w:tc>
          <w:tcPr>
            <w:tcW w:w="1500" w:type="dxa"/>
            <w:gridSpan w:val="2"/>
            <w:tcBorders>
              <w:top w:val="single" w:sz="6" w:space="0" w:color="6B7280"/>
              <w:left w:val="single" w:sz="6" w:space="0" w:color="6B7280"/>
              <w:bottom w:val="single" w:sz="6" w:space="0" w:color="6B7280"/>
              <w:right w:val="single" w:sz="6" w:space="0" w:color="6B7280"/>
            </w:tcBorders>
            <w:shd w:val="clear" w:color="auto" w:fill="E5E7EB"/>
            <w:vAlign w:val="center"/>
          </w:tcPr>
          <w:p w14:paraId="6740F45A" w14:textId="77777777" w:rsidR="00A26BD9" w:rsidRDefault="00000000">
            <w:pPr>
              <w:keepNext/>
              <w:keepLines/>
              <w:jc w:val="center"/>
              <w:rPr>
                <w:rFonts w:cs="Aptos"/>
                <w:sz w:val="16"/>
                <w:szCs w:val="16"/>
              </w:rPr>
            </w:pPr>
            <w:r>
              <w:rPr>
                <w:rFonts w:cs="Aptos"/>
                <w:b/>
                <w:bCs/>
                <w:sz w:val="20"/>
                <w:szCs w:val="20"/>
              </w:rPr>
              <w:t>Decision</w:t>
            </w:r>
          </w:p>
        </w:tc>
        <w:tc>
          <w:tcPr>
            <w:tcW w:w="2524" w:type="dxa"/>
            <w:gridSpan w:val="3"/>
            <w:tcBorders>
              <w:top w:val="single" w:sz="6" w:space="0" w:color="6B7280"/>
              <w:left w:val="single" w:sz="6" w:space="0" w:color="6B7280"/>
              <w:bottom w:val="single" w:sz="6" w:space="0" w:color="6B7280"/>
              <w:right w:val="single" w:sz="6" w:space="0" w:color="6B7280"/>
            </w:tcBorders>
            <w:vAlign w:val="center"/>
          </w:tcPr>
          <w:p w14:paraId="41EB1C8D" w14:textId="77777777" w:rsidR="00A26BD9" w:rsidRDefault="00000000">
            <w:pPr>
              <w:keepNext/>
              <w:keepLines/>
              <w:jc w:val="center"/>
              <w:rPr>
                <w:rFonts w:cs="Aptos"/>
                <w:sz w:val="16"/>
                <w:szCs w:val="16"/>
              </w:rPr>
            </w:pPr>
            <w:sdt>
              <w:sdtPr>
                <w:rPr>
                  <w:rFonts w:ascii="MS Gothic" w:eastAsia="MS Gothic" w:hAnsi="MS Gothic"/>
                  <w:sz w:val="22"/>
                </w:rPr>
                <w:id w:val="13928529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  <w:r>
              <w:rPr>
                <w:rFonts w:cs="Aptos"/>
                <w:sz w:val="19"/>
                <w:szCs w:val="19"/>
              </w:rPr>
              <w:t xml:space="preserve">  Go to next step</w:t>
            </w:r>
          </w:p>
        </w:tc>
        <w:tc>
          <w:tcPr>
            <w:tcW w:w="2524" w:type="dxa"/>
            <w:gridSpan w:val="3"/>
            <w:tcBorders>
              <w:top w:val="single" w:sz="6" w:space="0" w:color="6B7280"/>
              <w:left w:val="single" w:sz="6" w:space="0" w:color="6B7280"/>
              <w:bottom w:val="single" w:sz="6" w:space="0" w:color="6B7280"/>
              <w:right w:val="single" w:sz="6" w:space="0" w:color="6B7280"/>
            </w:tcBorders>
            <w:vAlign w:val="center"/>
          </w:tcPr>
          <w:p w14:paraId="73B330B9" w14:textId="77777777" w:rsidR="00A26BD9" w:rsidRDefault="00000000">
            <w:pPr>
              <w:keepNext/>
              <w:keepLines/>
              <w:jc w:val="center"/>
              <w:rPr>
                <w:rFonts w:cs="Aptos"/>
                <w:sz w:val="16"/>
                <w:szCs w:val="16"/>
              </w:rPr>
            </w:pPr>
            <w:sdt>
              <w:sdtPr>
                <w:rPr>
                  <w:rFonts w:ascii="MS Gothic" w:eastAsia="MS Gothic" w:hAnsi="MS Gothic"/>
                  <w:sz w:val="22"/>
                </w:rPr>
                <w:id w:val="7416138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  <w:r>
              <w:rPr>
                <w:rFonts w:cs="Aptos"/>
                <w:sz w:val="19"/>
                <w:szCs w:val="19"/>
              </w:rPr>
              <w:t xml:space="preserve">  Rework</w:t>
            </w:r>
          </w:p>
        </w:tc>
        <w:tc>
          <w:tcPr>
            <w:tcW w:w="2524" w:type="dxa"/>
            <w:gridSpan w:val="3"/>
            <w:tcBorders>
              <w:top w:val="single" w:sz="6" w:space="0" w:color="6B7280"/>
              <w:left w:val="single" w:sz="6" w:space="0" w:color="6B7280"/>
              <w:bottom w:val="single" w:sz="6" w:space="0" w:color="6B7280"/>
              <w:right w:val="single" w:sz="6" w:space="0" w:color="6B7280"/>
            </w:tcBorders>
            <w:vAlign w:val="center"/>
          </w:tcPr>
          <w:p w14:paraId="3C6131CD" w14:textId="77777777" w:rsidR="00A26BD9" w:rsidRDefault="00000000">
            <w:pPr>
              <w:keepNext/>
              <w:keepLines/>
              <w:jc w:val="center"/>
              <w:rPr>
                <w:rFonts w:cs="Aptos"/>
                <w:sz w:val="16"/>
                <w:szCs w:val="16"/>
              </w:rPr>
            </w:pPr>
            <w:sdt>
              <w:sdtPr>
                <w:rPr>
                  <w:rFonts w:ascii="MS Gothic" w:eastAsia="MS Gothic" w:hAnsi="MS Gothic"/>
                  <w:sz w:val="22"/>
                </w:rPr>
                <w:id w:val="15317621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  <w:r>
              <w:rPr>
                <w:rFonts w:cs="Aptos"/>
                <w:sz w:val="19"/>
                <w:szCs w:val="19"/>
              </w:rPr>
              <w:t xml:space="preserve">  Drop the hypothesis</w:t>
            </w:r>
          </w:p>
        </w:tc>
      </w:tr>
    </w:tbl>
    <w:p w14:paraId="2AD8C8F1" w14:textId="77777777" w:rsidR="00A26BD9" w:rsidRDefault="00A26BD9">
      <w:pPr>
        <w:spacing w:line="264" w:lineRule="auto"/>
        <w:rPr>
          <w:rFonts w:cs="Aptos"/>
          <w:sz w:val="4"/>
          <w:szCs w:val="4"/>
        </w:rPr>
      </w:pPr>
    </w:p>
    <w:sectPr w:rsidR="00A26BD9" w:rsidSect="001564B6">
      <w:headerReference w:type="default" r:id="rId10"/>
      <w:footerReference w:type="default" r:id="rId11"/>
      <w:pgSz w:w="11906" w:h="16838"/>
      <w:pgMar w:top="1417" w:right="1417" w:bottom="1134" w:left="1417" w:header="283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099B2" w14:textId="77777777" w:rsidR="00DB50FB" w:rsidRDefault="00DB50FB" w:rsidP="001564B6">
      <w:r>
        <w:separator/>
      </w:r>
    </w:p>
  </w:endnote>
  <w:endnote w:type="continuationSeparator" w:id="0">
    <w:p w14:paraId="2206A2B6" w14:textId="77777777" w:rsidR="00DB50FB" w:rsidRDefault="00DB50FB" w:rsidP="001564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ge Gothic">
    <w:panose1 w:val="00000000000000000000"/>
    <w:charset w:val="00"/>
    <w:family w:val="modern"/>
    <w:notTrueType/>
    <w:pitch w:val="variable"/>
    <w:sig w:usb0="A00000AF" w:usb1="50002048" w:usb2="00000000" w:usb3="00000000" w:csb0="00000111" w:csb1="00000000"/>
  </w:font>
  <w:font w:name="GarageGothic-Bold">
    <w:panose1 w:val="02000508030000020003"/>
    <w:charset w:val="00"/>
    <w:family w:val="modern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94429" w14:textId="77777777" w:rsidR="00A26BD9" w:rsidRDefault="00000000">
    <w:pPr>
      <w:pStyle w:val="Footer"/>
      <w:pBdr>
        <w:top w:val="single" w:sz="4" w:space="6" w:color="D1D5DB"/>
      </w:pBdr>
      <w:tabs>
        <w:tab w:val="clear" w:pos="4536"/>
      </w:tabs>
      <w:rPr>
        <w:color w:val="374151"/>
        <w:sz w:val="18"/>
      </w:rPr>
    </w:pPr>
    <w:r>
      <w:rPr>
        <w:color w:val="374151"/>
        <w:sz w:val="18"/>
      </w:rPr>
      <w:t>Confidential</w:t>
    </w:r>
    <w:r>
      <w:rPr>
        <w:color w:val="374151"/>
        <w:sz w:val="18"/>
      </w:rPr>
      <w:tab/>
      <w:t xml:space="preserve">Page </w:t>
    </w:r>
    <w:r>
      <w:rPr>
        <w:color w:val="374151"/>
        <w:sz w:val="18"/>
      </w:rPr>
      <w:fldChar w:fldCharType="begin"/>
    </w:r>
    <w:r>
      <w:rPr>
        <w:color w:val="374151"/>
        <w:sz w:val="18"/>
      </w:rPr>
      <w:instrText xml:space="preserve"> PAGE </w:instrText>
    </w:r>
    <w:r>
      <w:rPr>
        <w:color w:val="374151"/>
        <w:sz w:val="18"/>
      </w:rPr>
      <w:fldChar w:fldCharType="separate"/>
    </w:r>
    <w:r>
      <w:rPr>
        <w:color w:val="374151"/>
        <w:sz w:val="18"/>
      </w:rPr>
      <w:t>1</w:t>
    </w:r>
    <w:r>
      <w:rPr>
        <w:color w:val="374151"/>
        <w:sz w:val="18"/>
      </w:rPr>
      <w:fldChar w:fldCharType="end"/>
    </w:r>
    <w:r>
      <w:rPr>
        <w:color w:val="374151"/>
        <w:sz w:val="18"/>
      </w:rPr>
      <w:t xml:space="preserve"> of </w:t>
    </w:r>
    <w:r>
      <w:rPr>
        <w:color w:val="374151"/>
        <w:sz w:val="18"/>
      </w:rPr>
      <w:fldChar w:fldCharType="begin"/>
    </w:r>
    <w:r>
      <w:rPr>
        <w:color w:val="374151"/>
        <w:sz w:val="18"/>
      </w:rPr>
      <w:instrText xml:space="preserve"> NUMPAGES </w:instrText>
    </w:r>
    <w:r>
      <w:rPr>
        <w:color w:val="374151"/>
        <w:sz w:val="18"/>
      </w:rPr>
      <w:fldChar w:fldCharType="separate"/>
    </w:r>
    <w:r>
      <w:rPr>
        <w:color w:val="374151"/>
        <w:sz w:val="18"/>
      </w:rPr>
      <w:t>1</w:t>
    </w:r>
    <w:r>
      <w:rPr>
        <w:color w:val="374151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26C876" w14:textId="77777777" w:rsidR="00DB50FB" w:rsidRDefault="00DB50FB" w:rsidP="001564B6">
      <w:r>
        <w:separator/>
      </w:r>
    </w:p>
  </w:footnote>
  <w:footnote w:type="continuationSeparator" w:id="0">
    <w:p w14:paraId="10E2785C" w14:textId="77777777" w:rsidR="00DB50FB" w:rsidRDefault="00DB50FB" w:rsidP="001564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B34BD" w14:textId="77777777" w:rsidR="001564B6" w:rsidRPr="001564B6" w:rsidRDefault="00700C67">
    <w:pPr>
      <w:pStyle w:val="Header"/>
      <w:rPr>
        <w:rFonts w:ascii="Garage Gothic" w:hAnsi="Garage Gothic"/>
        <w:szCs w:val="28"/>
      </w:rPr>
    </w:pPr>
    <w:r>
      <w:rPr>
        <w:rFonts w:cs="Aptos"/>
        <w:color w:val="4B5563"/>
        <w:sz w:val="18"/>
        <w:szCs w:val="18"/>
      </w:rPr>
      <w:t xml:space="preserve">Written </w:t>
    </w:r>
    <w:proofErr w:type="gramStart"/>
    <w:r>
      <w:rPr>
        <w:rFonts w:cs="Aptos"/>
        <w:color w:val="4B5563"/>
        <w:sz w:val="18"/>
        <w:szCs w:val="18"/>
      </w:rPr>
      <w:t xml:space="preserve">by  </w:t>
    </w:r>
    <w:r>
      <w:rPr>
        <w:rFonts w:cs="Aptos"/>
        <w:color w:val="1F2937"/>
        <w:sz w:val="18"/>
        <w:szCs w:val="18"/>
      </w:rPr>
      <w:t>[Name]</w:t>
    </w:r>
    <w:r>
      <w:rPr>
        <w:rFonts w:cs="Aptos"/>
        <w:color w:val="4B5563"/>
        <w:sz w:val="18"/>
        <w:szCs w:val="18"/>
      </w:rPr>
      <w:t xml:space="preserve">   </w:t>
    </w:r>
    <w:proofErr w:type="gramEnd"/>
    <w:r>
      <w:rPr>
        <w:rFonts w:cs="Aptos"/>
        <w:color w:val="4B5563"/>
        <w:sz w:val="18"/>
        <w:szCs w:val="18"/>
      </w:rPr>
      <w:t xml:space="preserve">  </w:t>
    </w:r>
    <w:proofErr w:type="gramStart"/>
    <w:r>
      <w:rPr>
        <w:rFonts w:cs="Aptos"/>
        <w:color w:val="4B5563"/>
        <w:sz w:val="18"/>
        <w:szCs w:val="18"/>
      </w:rPr>
      <w:t xml:space="preserve">Date  </w:t>
    </w:r>
    <w:r>
      <w:rPr>
        <w:rFonts w:cs="Aptos"/>
        <w:color w:val="1F2937"/>
        <w:sz w:val="18"/>
        <w:szCs w:val="18"/>
      </w:rPr>
      <w:t>[</w:t>
    </w:r>
    <w:proofErr w:type="spellStart"/>
    <w:r>
      <w:rPr>
        <w:rFonts w:cs="Aptos"/>
        <w:color w:val="1F2937"/>
        <w:sz w:val="18"/>
        <w:szCs w:val="18"/>
      </w:rPr>
      <w:t>dd.mm.yyyy</w:t>
    </w:r>
    <w:proofErr w:type="spellEnd"/>
    <w:proofErr w:type="gramEnd"/>
    <w:r>
      <w:rPr>
        <w:rFonts w:cs="Aptos"/>
        <w:color w:val="1F2937"/>
        <w:sz w:val="18"/>
        <w:szCs w:val="18"/>
      </w:rPr>
      <w:t>]</w:t>
    </w:r>
    <w:r w:rsidR="001564B6" w:rsidRPr="001564B6">
      <w:rPr>
        <w:rFonts w:ascii="Garage Gothic" w:hAnsi="Garage Gothic"/>
        <w:szCs w:val="28"/>
        <w:lang w:val="fr-CH"/>
      </w:rPr>
      <w:ptab w:relativeTo="margin" w:alignment="center" w:leader="none"/>
    </w:r>
    <w:r w:rsidR="001564B6" w:rsidRPr="001564B6">
      <w:rPr>
        <w:rFonts w:ascii="Garage Gothic" w:hAnsi="Garage Gothic"/>
        <w:szCs w:val="28"/>
        <w:lang w:val="fr-CH"/>
      </w:rPr>
      <w:ptab w:relativeTo="margin" w:alignment="right" w:leader="none"/>
    </w:r>
    <w:r w:rsidR="001564B6">
      <w:rPr>
        <w:rFonts w:ascii="Garage Gothic" w:hAnsi="Garage Gothic"/>
        <w:noProof/>
        <w:szCs w:val="28"/>
        <w:lang w:val="fr-CH"/>
      </w:rPr>
      <w:drawing>
        <wp:inline distT="0" distB="0" distL="0" distR="0" wp14:anchorId="4110BC2A" wp14:editId="3A0F77D7">
          <wp:extent cx="1355059" cy="331893"/>
          <wp:effectExtent l="0" t="0" r="7620" b="2540"/>
          <wp:docPr id="270241058" name="Picture 270241058" descr="A close-up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close-up of a 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58155" cy="3571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315D83"/>
    <w:multiLevelType w:val="singleLevel"/>
    <w:tmpl w:val="617E9A14"/>
    <w:lvl w:ilvl="0">
      <w:start w:val="1"/>
      <w:numFmt w:val="bullet"/>
      <w:lvlText w:val="•"/>
      <w:lvlJc w:val="left"/>
      <w:pPr>
        <w:ind w:left="360" w:hanging="220"/>
      </w:pPr>
      <w:rPr>
        <w:rFonts w:ascii="Aptos" w:hAnsi="Aptos"/>
        <w:color w:val="6B7280"/>
      </w:rPr>
    </w:lvl>
  </w:abstractNum>
  <w:num w:numId="1" w16cid:durableId="997921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E1F"/>
    <w:rsid w:val="00002E1F"/>
    <w:rsid w:val="001564B6"/>
    <w:rsid w:val="001A5B46"/>
    <w:rsid w:val="001E41E1"/>
    <w:rsid w:val="00343D98"/>
    <w:rsid w:val="00367B1F"/>
    <w:rsid w:val="00374BD6"/>
    <w:rsid w:val="004719E8"/>
    <w:rsid w:val="005C40D2"/>
    <w:rsid w:val="005D0A9D"/>
    <w:rsid w:val="006B3658"/>
    <w:rsid w:val="00700C67"/>
    <w:rsid w:val="00A26BD9"/>
    <w:rsid w:val="00A944F3"/>
    <w:rsid w:val="00AE5410"/>
    <w:rsid w:val="00B7003B"/>
    <w:rsid w:val="00C70919"/>
    <w:rsid w:val="00DB50FB"/>
    <w:rsid w:val="00F92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FB543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l Aptos"/>
    <w:qFormat/>
    <w:rsid w:val="001564B6"/>
    <w:pPr>
      <w:spacing w:after="0" w:line="240" w:lineRule="auto"/>
    </w:pPr>
    <w:rPr>
      <w:rFonts w:ascii="Aptos" w:hAnsi="Aptos"/>
      <w:sz w:val="28"/>
      <w:szCs w:val="24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64B6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64B6"/>
    <w:rPr>
      <w:rFonts w:ascii="Arial" w:hAnsi="Arial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1564B6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64B6"/>
    <w:rPr>
      <w:rFonts w:ascii="Arial" w:hAnsi="Arial"/>
      <w:sz w:val="24"/>
      <w:szCs w:val="24"/>
      <w:lang w:val="en-US"/>
    </w:rPr>
  </w:style>
  <w:style w:type="paragraph" w:customStyle="1" w:styleId="Title1">
    <w:name w:val="Title1"/>
    <w:basedOn w:val="Normal"/>
    <w:link w:val="TITLEChar"/>
    <w:qFormat/>
    <w:rsid w:val="001564B6"/>
    <w:rPr>
      <w:rFonts w:ascii="Garage Gothic" w:hAnsi="Garage Gothic"/>
      <w:b/>
      <w:sz w:val="56"/>
      <w:lang w:val="fr-CH"/>
    </w:rPr>
  </w:style>
  <w:style w:type="character" w:customStyle="1" w:styleId="TITLEChar">
    <w:name w:val="TITLE Char"/>
    <w:basedOn w:val="DefaultParagraphFont"/>
    <w:link w:val="Title1"/>
    <w:rsid w:val="001564B6"/>
    <w:rPr>
      <w:rFonts w:ascii="Garage Gothic" w:hAnsi="Garage Gothic"/>
      <w:b/>
      <w:sz w:val="56"/>
      <w:szCs w:val="24"/>
    </w:rPr>
  </w:style>
  <w:style w:type="table" w:customStyle="1" w:styleId="TableGrid">
    <w:name w:val="TableGrid"/>
    <w:rsid w:val="001564B6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E0C177400116E4BB1DF7CD68C01AF5F" ma:contentTypeVersion="16" ma:contentTypeDescription="Crée un document." ma:contentTypeScope="" ma:versionID="f3c757f9087b1bff50e371cd40178f55">
  <xsd:schema xmlns:xsd="http://www.w3.org/2001/XMLSchema" xmlns:xs="http://www.w3.org/2001/XMLSchema" xmlns:p="http://schemas.microsoft.com/office/2006/metadata/properties" xmlns:ns2="e438e4ca-c4f0-4c73-919b-9dce23c4bdfb" xmlns:ns3="f263aeb0-f07a-48d3-955a-e7961f73c9df" targetNamespace="http://schemas.microsoft.com/office/2006/metadata/properties" ma:root="true" ma:fieldsID="951a2a1cb14a0963735e43b2180508a3" ns2:_="" ns3:_="">
    <xsd:import namespace="e438e4ca-c4f0-4c73-919b-9dce23c4bdfb"/>
    <xsd:import namespace="f263aeb0-f07a-48d3-955a-e7961f73c9df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438e4ca-c4f0-4c73-919b-9dce23c4bdfb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Balises d’images" ma:readOnly="false" ma:fieldId="{5cf76f15-5ced-4ddc-b409-7134ff3c332f}" ma:taxonomyMulti="true" ma:sspId="b81a1e64-cca5-4159-8571-7e0ede9c99f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63aeb0-f07a-48d3-955a-e7961f73c9df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64c6f4f5-d414-4f17-8110-9f8bce761195}" ma:internalName="TaxCatchAll" ma:showField="CatchAllData" ma:web="f263aeb0-f07a-48d3-955a-e7961f73c9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438e4ca-c4f0-4c73-919b-9dce23c4bdfb">
      <Terms xmlns="http://schemas.microsoft.com/office/infopath/2007/PartnerControls"/>
    </lcf76f155ced4ddcb4097134ff3c332f>
    <TaxCatchAll xmlns="f263aeb0-f07a-48d3-955a-e7961f73c9df" xsi:nil="true"/>
    <MediaLengthInSeconds xmlns="e438e4ca-c4f0-4c73-919b-9dce23c4bdfb" xsi:nil="true"/>
    <SharedWithUsers xmlns="f263aeb0-f07a-48d3-955a-e7961f73c9df">
      <UserInfo>
        <DisplayName/>
        <AccountId xsi:nil="true"/>
        <AccountType/>
      </UserInfo>
    </SharedWithUser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B2A1948-8255-46B4-84EF-DDCF3695AD5C}"/>
</file>

<file path=customXml/itemProps2.xml><?xml version="1.0" encoding="utf-8"?>
<ds:datastoreItem xmlns:ds="http://schemas.openxmlformats.org/officeDocument/2006/customXml" ds:itemID="{ED01455C-938C-4933-B3CC-785D36F9B6AD}">
  <ds:schemaRefs>
    <ds:schemaRef ds:uri="http://schemas.microsoft.com/office/2006/metadata/properties"/>
    <ds:schemaRef ds:uri="http://schemas.microsoft.com/office/infopath/2007/PartnerControls"/>
    <ds:schemaRef ds:uri="e438e4ca-c4f0-4c73-919b-9dce23c4bdfb"/>
    <ds:schemaRef ds:uri="f263aeb0-f07a-48d3-955a-e7961f73c9df"/>
  </ds:schemaRefs>
</ds:datastoreItem>
</file>

<file path=customXml/itemProps3.xml><?xml version="1.0" encoding="utf-8"?>
<ds:datastoreItem xmlns:ds="http://schemas.openxmlformats.org/officeDocument/2006/customXml" ds:itemID="{F138B954-5905-4AA2-ADAE-C700B2EC7B2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202610_2a Market Scan Template </Template>
  <TotalTime>0</TotalTime>
  <Pages>1</Pages>
  <Words>263</Words>
  <Characters>1252</Characters>
  <Application>Microsoft Office Word</Application>
  <DocSecurity>0</DocSecurity>
  <Lines>54</Lines>
  <Paragraphs>38</Paragraphs>
  <ScaleCrop>false</ScaleCrop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Sébastien Moix</dc:creator>
  <cp:keywords/>
  <dc:description/>
  <cp:lastModifiedBy>Sébastien Moix</cp:lastModifiedBy>
  <cp:revision>2</cp:revision>
  <dcterms:created xsi:type="dcterms:W3CDTF">2026-10-22T11:47:00Z</dcterms:created>
  <dcterms:modified xsi:type="dcterms:W3CDTF">2026-10-22T11:47:00Z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0x0101009E0C177400116E4BB1DF7CD68C01AF5F</vt:lpwstr>
  </property>
  <property fmtid="{D5CDD505-2E9C-101B-9397-08002B2CF9AE}" pid="3" name="xd_ProgID">
    <vt:lpwstr/>
  </property>
  <property fmtid="{D5CDD505-2E9C-101B-9397-08002B2CF9AE}" pid="4" name="MediaServiceImageTags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