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4E6" w:rsidRDefault="00DE74E6" w:rsidP="00DE74E6">
      <w:pPr>
        <w:pStyle w:val="Standard"/>
        <w:spacing w:after="480"/>
        <w:jc w:val="center"/>
        <w:rPr>
          <w:b/>
          <w:bCs/>
          <w:caps/>
          <w:szCs w:val="20"/>
        </w:rPr>
      </w:pPr>
      <w:r>
        <w:rPr>
          <w:b/>
          <w:bCs/>
          <w:caps/>
          <w:szCs w:val="20"/>
        </w:rPr>
        <w:t xml:space="preserve">TUTORAT ET MAINTIEN DE LA MOTIVATION en e-FORMATION UNIVERSITAIRE : </w:t>
      </w:r>
      <w:r w:rsidR="0023691D">
        <w:rPr>
          <w:b/>
          <w:bCs/>
          <w:caps/>
          <w:szCs w:val="20"/>
        </w:rPr>
        <w:t>LE CAS DU SÉNÉGAL</w:t>
      </w:r>
    </w:p>
    <w:p w:rsidR="00DE74E6" w:rsidRDefault="00DE74E6" w:rsidP="00DE74E6">
      <w:pPr>
        <w:pStyle w:val="Standard"/>
        <w:spacing w:after="480"/>
        <w:jc w:val="center"/>
      </w:pPr>
    </w:p>
    <w:p w:rsidR="00DE74E6" w:rsidRDefault="00DE74E6" w:rsidP="00DE74E6">
      <w:pPr>
        <w:pStyle w:val="Standard"/>
        <w:pBdr>
          <w:top w:val="single" w:sz="4" w:space="1" w:color="000001"/>
        </w:pBdr>
        <w:rPr>
          <w:b/>
          <w:bCs/>
          <w:szCs w:val="20"/>
        </w:rPr>
      </w:pPr>
    </w:p>
    <w:p w:rsidR="00DE74E6" w:rsidRDefault="00DE74E6" w:rsidP="00DE74E6">
      <w:pPr>
        <w:pStyle w:val="Standard"/>
        <w:pBdr>
          <w:top w:val="single" w:sz="4" w:space="1" w:color="000001"/>
        </w:pBdr>
      </w:pPr>
      <w:r>
        <w:rPr>
          <w:b/>
          <w:bCs/>
          <w:i/>
          <w:szCs w:val="20"/>
        </w:rPr>
        <w:t xml:space="preserve">Mots-clés : </w:t>
      </w:r>
      <w:r>
        <w:rPr>
          <w:bCs/>
          <w:i/>
          <w:szCs w:val="20"/>
        </w:rPr>
        <w:t>tutorat, formation à distance, cadre motivationnel, enseignement supérieur, Sénégal</w:t>
      </w:r>
    </w:p>
    <w:p w:rsidR="00DE74E6" w:rsidRDefault="00DE74E6" w:rsidP="00DE74E6">
      <w:pPr>
        <w:pStyle w:val="Standard"/>
        <w:rPr>
          <w:i/>
          <w:szCs w:val="20"/>
        </w:rPr>
      </w:pPr>
    </w:p>
    <w:p w:rsidR="00DE74E6" w:rsidRDefault="00DE74E6" w:rsidP="00DE74E6">
      <w:pPr>
        <w:pStyle w:val="Standard"/>
        <w:pBdr>
          <w:bottom w:val="single" w:sz="4" w:space="1" w:color="000001"/>
        </w:pBdr>
      </w:pPr>
      <w:r>
        <w:rPr>
          <w:b/>
          <w:bCs/>
          <w:i/>
          <w:szCs w:val="20"/>
        </w:rPr>
        <w:t xml:space="preserve">Résumé. </w:t>
      </w:r>
      <w:r>
        <w:rPr>
          <w:i/>
          <w:iCs/>
          <w:szCs w:val="20"/>
        </w:rPr>
        <w:t>Le développement croissant des dispositifs de formation à distance en milieu universitaire élargit significativement le champ de recherche sur les modalités d’encadrement et d’accompagnement par le tutorat. Ancré dans le contexte sénégalais, cet article propose d’étudier l’apport des ingénieries tutorales dans la persévérance aux études universitaires menées à distance.</w:t>
      </w:r>
    </w:p>
    <w:p w:rsidR="00DE74E6" w:rsidRDefault="00DE74E6" w:rsidP="00DE74E6">
      <w:pPr>
        <w:pStyle w:val="Standard"/>
        <w:pBdr>
          <w:bottom w:val="single" w:sz="4" w:space="1" w:color="000001"/>
        </w:pBdr>
        <w:rPr>
          <w:b/>
          <w:bCs/>
          <w:szCs w:val="20"/>
        </w:rPr>
      </w:pPr>
    </w:p>
    <w:p w:rsidR="00DE74E6" w:rsidRDefault="0071423D" w:rsidP="00DE74E6">
      <w:pPr>
        <w:pStyle w:val="Titre1"/>
      </w:pPr>
      <w:r>
        <w:t>Contexte général de l’étude et problématique</w:t>
      </w:r>
    </w:p>
    <w:p w:rsidR="00DE74E6" w:rsidRDefault="00DE74E6" w:rsidP="00DE74E6">
      <w:pPr>
        <w:pStyle w:val="Standard"/>
      </w:pPr>
      <w:r>
        <w:t>Au Sénégal, la crise des universités publiques, la demande en matière d’enseignement supérieur et « la montée en puissance des réseaux numériques et leur utilisation à des fins pédagogiques » (Lat et Sidir, 2015, p. 374) ont largement contribué au développement de l’offre de formation à distance. Or, nombre de néo-bacheliers n'y sont pas préparés et sont confrontés à la fracture numérique ; autant d'éléments impactant leur motivation. L’évolution des besoins vers des stratégies plus actives nécessite des actions de régulation, de remédiation et d’animation. Afin de limiter les risques de décrochage et de répondre aux exigences de la pédagogie active, des ingénieries tutorales spécifiques ont été programmées. Ainsi, qu’apporteront-elles au maintien de la motivation des étudiants pour la persévérance et la réussite de leurs études ?</w:t>
      </w:r>
    </w:p>
    <w:p w:rsidR="00DE74E6" w:rsidRDefault="00DE74E6" w:rsidP="00DE74E6">
      <w:pPr>
        <w:pStyle w:val="Titre1"/>
      </w:pPr>
      <w:r>
        <w:t>Cadre théorique</w:t>
      </w:r>
    </w:p>
    <w:p w:rsidR="00DE74E6" w:rsidRDefault="00DE74E6" w:rsidP="00DE74E6">
      <w:pPr>
        <w:pStyle w:val="Titre2"/>
      </w:pPr>
      <w:r>
        <w:t>Revue de littérature</w:t>
      </w:r>
    </w:p>
    <w:p w:rsidR="00DE74E6" w:rsidRDefault="00DE74E6" w:rsidP="00DE74E6">
      <w:pPr>
        <w:pStyle w:val="Standard"/>
      </w:pPr>
      <w:r>
        <w:t xml:space="preserve">Notre étude s’appuiera sur les théories cognitives de la motivation, en particulier le modèle heuristique du collectif individuellement motivé (MHCIM) de Heutte (2011, 2017a, 2017b). Celui-ci met l’accent sur les trois théories suivantes : la théorie de l’autodétermination (Deci et Ryan, 2008), celle de l’auto efficacité (Bandura, 2003) et celle de l’autotélisme ou </w:t>
      </w:r>
      <w:r>
        <w:rPr>
          <w:i/>
        </w:rPr>
        <w:t>flow</w:t>
      </w:r>
      <w:r>
        <w:t xml:space="preserve"> (Csikszentmihaly, 2004).</w:t>
      </w:r>
    </w:p>
    <w:p w:rsidR="00DE74E6" w:rsidRDefault="00DE74E6" w:rsidP="00DE74E6">
      <w:pPr>
        <w:pStyle w:val="Titre2"/>
      </w:pPr>
      <w:r>
        <w:t>Concepts mobilisés</w:t>
      </w:r>
    </w:p>
    <w:p w:rsidR="00DE74E6" w:rsidRDefault="00DE74E6" w:rsidP="00DE74E6">
      <w:pPr>
        <w:pStyle w:val="Titre3"/>
      </w:pPr>
      <w:r>
        <w:t>Le tutorat</w:t>
      </w:r>
    </w:p>
    <w:p w:rsidR="00DE74E6" w:rsidRDefault="00DE74E6" w:rsidP="00DE74E6">
      <w:pPr>
        <w:pStyle w:val="Standard"/>
        <w:rPr>
          <w:szCs w:val="20"/>
        </w:rPr>
      </w:pPr>
      <w:r>
        <w:rPr>
          <w:szCs w:val="20"/>
        </w:rPr>
        <w:t xml:space="preserve">Selon Legendre (1993, p. 1378), « Le tuteur est un guide […] qui enseigne à une seule personne ou à un petit groupe d’élèves […] » (Daele, </w:t>
      </w:r>
      <w:r w:rsidR="009A1B69">
        <w:rPr>
          <w:szCs w:val="20"/>
        </w:rPr>
        <w:t xml:space="preserve">2002, </w:t>
      </w:r>
      <w:r>
        <w:rPr>
          <w:szCs w:val="20"/>
        </w:rPr>
        <w:t>p. 2). « Les tuteurs […] ont pour mission de gérer les interactions […] et de provoquer des échanges entre apprenants. » (Glikman, 2011, p. 4). Le tutorat est une forme de médiation instrumentée par des outils et services numériques.</w:t>
      </w:r>
    </w:p>
    <w:p w:rsidR="00DE74E6" w:rsidRDefault="00DE74E6" w:rsidP="00DE74E6">
      <w:pPr>
        <w:pStyle w:val="Titre3"/>
      </w:pPr>
      <w:r>
        <w:t>La motivation</w:t>
      </w:r>
    </w:p>
    <w:p w:rsidR="00DE74E6" w:rsidRDefault="00DE74E6" w:rsidP="00DE74E6">
      <w:pPr>
        <w:pStyle w:val="Standard"/>
      </w:pPr>
      <w:r>
        <w:rPr>
          <w:szCs w:val="20"/>
        </w:rPr>
        <w:t xml:space="preserve">Il s'agit d'un « état dynamique qui se construit dans l’interaction continue entre la personne et son environnement » (Jézégou, 2010, p. 54), agissant sur son comportement et ses actions. Fenouillet </w:t>
      </w:r>
      <w:r>
        <w:rPr>
          <w:szCs w:val="20"/>
        </w:rPr>
        <w:lastRenderedPageBreak/>
        <w:t>la définit comme « une hypothétique force intra-individuelle protéiforme […] qui permet d’expliquer [la nature] du comportement ou de l’action. » (2009, cité par Heutte, 2011, p.67).</w:t>
      </w:r>
    </w:p>
    <w:p w:rsidR="00DE74E6" w:rsidRDefault="00DE74E6" w:rsidP="00DE74E6">
      <w:pPr>
        <w:pStyle w:val="Titre3"/>
      </w:pPr>
      <w:r>
        <w:t>L’auto-efficacité</w:t>
      </w:r>
    </w:p>
    <w:p w:rsidR="00DE74E6" w:rsidRDefault="00DE74E6" w:rsidP="00DE74E6">
      <w:pPr>
        <w:pStyle w:val="Standard"/>
      </w:pPr>
      <w:r>
        <w:rPr>
          <w:szCs w:val="20"/>
        </w:rPr>
        <w:t>Introduite par Bandura (1977, 1997, 2003), ce terme désigne « la croyance d’une personne en sa capacité à réaliser des performances particulières » (Rondier, 2009). L’auto-efficacité est prise ici comme un facteur contribuant à la persévérance de l’apprenant, notamment face à une difficulté.</w:t>
      </w:r>
    </w:p>
    <w:p w:rsidR="00DE74E6" w:rsidRDefault="00DE74E6" w:rsidP="00DE74E6">
      <w:pPr>
        <w:pStyle w:val="Titre3"/>
      </w:pPr>
      <w:r>
        <w:t>L’autodétermination</w:t>
      </w:r>
    </w:p>
    <w:p w:rsidR="00DE74E6" w:rsidRDefault="00DE74E6" w:rsidP="00DE74E6">
      <w:pPr>
        <w:pStyle w:val="Standard"/>
      </w:pPr>
      <w:r>
        <w:rPr>
          <w:szCs w:val="20"/>
        </w:rPr>
        <w:t>La motivation est vue comme un continuum allant de la motivation non autodéterminée à la motivation intrinsèque. L’autodétermination est un seuil entre les deux extrêmes, marquant l’adhésion à ce que propose le tuteur (Sarrazin et al., 2011, p. 282).</w:t>
      </w:r>
    </w:p>
    <w:p w:rsidR="00DE74E6" w:rsidRDefault="00DE74E6" w:rsidP="00DE74E6">
      <w:pPr>
        <w:pStyle w:val="Titre3"/>
      </w:pPr>
      <w:r>
        <w:t>L’autotélisme</w:t>
      </w:r>
    </w:p>
    <w:p w:rsidR="00DE74E6" w:rsidRPr="00284DF0" w:rsidRDefault="00DE74E6" w:rsidP="00DE74E6">
      <w:pPr>
        <w:pStyle w:val="Standard"/>
      </w:pPr>
      <w:r>
        <w:rPr>
          <w:szCs w:val="20"/>
        </w:rPr>
        <w:t>L’autotélisme est défini comme un « intérêt pour les activités, les choses ou les personnes en soi »</w:t>
      </w:r>
      <w:r>
        <w:rPr>
          <w:rStyle w:val="Appelnotedebasdep"/>
        </w:rPr>
        <w:footnoteReference w:id="2"/>
      </w:r>
      <w:r>
        <w:rPr>
          <w:szCs w:val="20"/>
        </w:rPr>
        <w:t xml:space="preserve">. Heutte l’associe au </w:t>
      </w:r>
      <w:r w:rsidRPr="0086792E">
        <w:rPr>
          <w:i/>
          <w:szCs w:val="20"/>
        </w:rPr>
        <w:t>flow</w:t>
      </w:r>
      <w:r>
        <w:rPr>
          <w:szCs w:val="20"/>
        </w:rPr>
        <w:t>, notion introduite par Csikszentmihaly (2014) comme « un état psychologique dans lequel le sujet se sent simultanément cognitivement efficace, motivé et heureux de progresser » (Heutte, 2017, p.85).</w:t>
      </w:r>
    </w:p>
    <w:p w:rsidR="00DE74E6" w:rsidRDefault="00DE74E6" w:rsidP="00DE74E6">
      <w:pPr>
        <w:pStyle w:val="Titre2"/>
      </w:pPr>
      <w:r>
        <w:t>Le « cadre motivationnel »</w:t>
      </w:r>
    </w:p>
    <w:p w:rsidR="00DE74E6" w:rsidRDefault="00DE74E6" w:rsidP="00DE74E6">
      <w:pPr>
        <w:pStyle w:val="Standard"/>
        <w:spacing w:before="240" w:after="240"/>
      </w:pPr>
      <w:r>
        <w:rPr>
          <w:color w:val="000000"/>
          <w:szCs w:val="20"/>
          <w:lang w:eastAsia="fr-FR"/>
        </w:rPr>
        <w:t>Le « </w:t>
      </w:r>
      <w:r>
        <w:rPr>
          <w:i/>
          <w:iCs/>
          <w:color w:val="000000"/>
          <w:szCs w:val="20"/>
          <w:lang w:eastAsia="fr-FR"/>
        </w:rPr>
        <w:t xml:space="preserve">cadre motivationnel » </w:t>
      </w:r>
      <w:r>
        <w:rPr>
          <w:color w:val="000000"/>
          <w:szCs w:val="20"/>
          <w:lang w:eastAsia="fr-FR"/>
        </w:rPr>
        <w:t xml:space="preserve">est un espace composé de trois dimensions - </w:t>
      </w:r>
      <w:r>
        <w:rPr>
          <w:i/>
          <w:iCs/>
          <w:color w:val="000000"/>
          <w:szCs w:val="20"/>
          <w:lang w:eastAsia="fr-FR"/>
        </w:rPr>
        <w:t>auto-efficacité</w:t>
      </w:r>
      <w:r>
        <w:rPr>
          <w:color w:val="000000"/>
          <w:szCs w:val="20"/>
          <w:lang w:eastAsia="fr-FR"/>
        </w:rPr>
        <w:t xml:space="preserve">, </w:t>
      </w:r>
      <w:r>
        <w:rPr>
          <w:i/>
          <w:iCs/>
          <w:color w:val="000000"/>
          <w:szCs w:val="20"/>
          <w:lang w:eastAsia="fr-FR"/>
        </w:rPr>
        <w:t>autodétermination</w:t>
      </w:r>
      <w:r>
        <w:rPr>
          <w:color w:val="000000"/>
          <w:szCs w:val="20"/>
          <w:lang w:eastAsia="fr-FR"/>
        </w:rPr>
        <w:t xml:space="preserve"> et </w:t>
      </w:r>
      <w:r>
        <w:rPr>
          <w:i/>
          <w:iCs/>
          <w:color w:val="000000"/>
          <w:szCs w:val="20"/>
          <w:lang w:eastAsia="fr-FR"/>
        </w:rPr>
        <w:t>autotélisme</w:t>
      </w:r>
      <w:r>
        <w:rPr>
          <w:color w:val="000000"/>
          <w:szCs w:val="20"/>
          <w:lang w:eastAsia="fr-FR"/>
        </w:rPr>
        <w:t xml:space="preserve"> – qui permet au tuteur de rendre opérationnel la notion de motivation et d'orienter ses interventions. Il existe quatre configurations possibles : quand chaque dimension est dite « faible » : l'apprenant est « dépendant », l'action du tuteur consistera à le diriger ; l'autotélisme est « fort », l'apprenant est intéressé, le rôle du tuteur sera de persuader ; l'autodétermintation et l'autotélisme sont « forts » : l’apprenant est « impliqué », charge au tuteur de le faire participer ; les trois dimensions sont fortes : l’apprenant est « autonome », il s’agit alors de déléguer.</w:t>
      </w:r>
    </w:p>
    <w:p w:rsidR="00DE74E6" w:rsidRDefault="00DE74E6" w:rsidP="00DE74E6">
      <w:pPr>
        <w:pStyle w:val="Titre2"/>
      </w:pPr>
      <w:r>
        <w:t>Hypothèses de recherche</w:t>
      </w:r>
    </w:p>
    <w:p w:rsidR="00DE74E6" w:rsidRDefault="00DE74E6" w:rsidP="00DE74E6">
      <w:pPr>
        <w:pStyle w:val="Textbody"/>
        <w:ind w:firstLine="0"/>
      </w:pPr>
      <w:r>
        <w:t xml:space="preserve">Les hypothèses sont les suivantes : la perception des étudiants sur leur sentiment d’appartenance sociale au sein de leur structure d’étude est renforcée par l’accompagnement tutoral ; l’accompagnement tutoral est un renforçateur du sentiment d’auto-efficacité des apprenants dans la poursuite et la réussite de leur formation à distance ; le soutien apporté par les tuteurs contribue au renforcement du </w:t>
      </w:r>
      <w:r w:rsidRPr="00594680">
        <w:rPr>
          <w:i/>
        </w:rPr>
        <w:t>flow</w:t>
      </w:r>
      <w:r>
        <w:t xml:space="preserve"> des étudiants dans leurs activités d’enseignement/apprentissage.</w:t>
      </w:r>
    </w:p>
    <w:p w:rsidR="00DE74E6" w:rsidRDefault="00DE74E6" w:rsidP="00DE74E6">
      <w:pPr>
        <w:pStyle w:val="Titre1"/>
      </w:pPr>
      <w:r>
        <w:t>Méthodologie</w:t>
      </w:r>
    </w:p>
    <w:p w:rsidR="00DE74E6" w:rsidRDefault="00DE74E6" w:rsidP="00DE74E6">
      <w:pPr>
        <w:pStyle w:val="Standard"/>
      </w:pPr>
      <w:r>
        <w:t xml:space="preserve">Des enquêtes de terrain seront menées, dans les universités dispensant un enseignement à distance, pour recueillir la perception des apprenants sur les activités tutorales. Ainsi, nous nous appuierons sur l'enquête par questionnaire inspirée des travaux de Heutte (2011, 2017a, 2017b) pour déterminer les échelles de mesures des dimensions de la motivation, qui sont : l’échelle du sentiment d’appartenance sociale (Richer &amp; Vallerand, 1998), l'échelle du sentiment d’efficacité général (Schwarzer &amp; Jerusalem, 1995) et l’échelle de mesure du </w:t>
      </w:r>
      <w:r>
        <w:rPr>
          <w:i/>
        </w:rPr>
        <w:t>flow</w:t>
      </w:r>
      <w:r>
        <w:t xml:space="preserve"> en éducation (Heutte et al., 2016) ; chacune comportant des sous dimensions. Ensuite, nous adresserons des guides d’entretien aux tuteurs pour recueillir leurs points de vue sur l’activité qu’ils exercent ainsi que les modalités </w:t>
      </w:r>
      <w:r>
        <w:lastRenderedPageBreak/>
        <w:t>d’exercices. Enfin, les traces d’apprentissage laissées sur la plateforme dans le cadre des interactions apprenants-tuteurs seront analysées.</w:t>
      </w:r>
    </w:p>
    <w:p w:rsidR="00BE0484" w:rsidRDefault="00DE74E6" w:rsidP="00BE0484">
      <w:pPr>
        <w:pStyle w:val="Titre1"/>
      </w:pPr>
      <w:bookmarkStart w:id="0" w:name="Bookmark"/>
      <w:bookmarkEnd w:id="0"/>
      <w:r>
        <w:t>Références et bibliographie</w:t>
      </w:r>
    </w:p>
    <w:p w:rsidR="00BE0484" w:rsidRPr="00BE0484" w:rsidRDefault="00BE0484" w:rsidP="00BE0484">
      <w:pPr>
        <w:pStyle w:val="Titre2"/>
      </w:pPr>
      <w:r>
        <w:t>Références bibliographiques</w:t>
      </w:r>
    </w:p>
    <w:p w:rsidR="00F52359" w:rsidRPr="00F52359" w:rsidRDefault="00F52359" w:rsidP="00F52359">
      <w:pPr>
        <w:pStyle w:val="Standard"/>
        <w:spacing w:after="120"/>
        <w:ind w:left="284" w:hanging="284"/>
        <w:rPr>
          <w:sz w:val="18"/>
          <w:szCs w:val="18"/>
        </w:rPr>
      </w:pPr>
      <w:r w:rsidRPr="00F52359">
        <w:rPr>
          <w:sz w:val="18"/>
          <w:szCs w:val="18"/>
        </w:rPr>
        <w:t>Csikszentmihalyi, M. (2014). Flow and the Foundations of Positive Psychology. Dordrecht Netherlands : Springer.</w:t>
      </w:r>
    </w:p>
    <w:p w:rsidR="00F52359" w:rsidRPr="00F52359" w:rsidRDefault="00F52359" w:rsidP="00F52359">
      <w:pPr>
        <w:pStyle w:val="Standard"/>
        <w:spacing w:after="120"/>
        <w:ind w:left="284" w:hanging="284"/>
        <w:rPr>
          <w:sz w:val="18"/>
          <w:szCs w:val="18"/>
        </w:rPr>
      </w:pPr>
      <w:r w:rsidRPr="00F52359">
        <w:rPr>
          <w:sz w:val="18"/>
          <w:szCs w:val="18"/>
        </w:rPr>
        <w:t>Daele, A., Docq, F. (2002). Le tuteur en ligne, quelles conditions d’efficacité dans un dispositif d’apprentissage collaboratif à distance ?. 19E colloque de l'Association internationale de pédagogie universitaire sur les méthodes actives dans l'enseignement supérieur. Louvain-la-Neuve.</w:t>
      </w:r>
    </w:p>
    <w:p w:rsidR="00F52359" w:rsidRPr="00F52359" w:rsidRDefault="00F52359" w:rsidP="00F52359">
      <w:pPr>
        <w:pStyle w:val="Standard"/>
        <w:spacing w:after="120"/>
        <w:ind w:left="284" w:hanging="284"/>
        <w:rPr>
          <w:sz w:val="18"/>
          <w:szCs w:val="18"/>
        </w:rPr>
      </w:pPr>
      <w:r w:rsidRPr="00F52359">
        <w:rPr>
          <w:sz w:val="18"/>
          <w:szCs w:val="18"/>
        </w:rPr>
        <w:t>Deci, E</w:t>
      </w:r>
      <w:r>
        <w:rPr>
          <w:sz w:val="18"/>
          <w:szCs w:val="18"/>
        </w:rPr>
        <w:t>.</w:t>
      </w:r>
      <w:r w:rsidRPr="00F52359">
        <w:rPr>
          <w:sz w:val="18"/>
          <w:szCs w:val="18"/>
        </w:rPr>
        <w:t>L. &amp; Ryan, R.M. (2008b). Self-determination theory: A macrotheory of human motivation, development, and health. Canadian Psychology, vol. 49, no 3, p. 182-185.</w:t>
      </w:r>
    </w:p>
    <w:p w:rsidR="00F52359" w:rsidRPr="00F52359" w:rsidRDefault="00F52359" w:rsidP="00F52359">
      <w:pPr>
        <w:pStyle w:val="Standard"/>
        <w:spacing w:after="120"/>
        <w:ind w:left="284" w:hanging="284"/>
        <w:rPr>
          <w:sz w:val="18"/>
          <w:szCs w:val="18"/>
        </w:rPr>
      </w:pPr>
      <w:r w:rsidRPr="00F52359">
        <w:rPr>
          <w:sz w:val="18"/>
          <w:szCs w:val="18"/>
        </w:rPr>
        <w:t>Glikman, V. (2011). Chapitre 7. Tuteur à distance : une fonction, un métier, une identité ?. Dans : Christian Depover éd., Le tutorat en formation à distance (pp. 137-158). Louvain-la-Neuve, Belgique : De Boeck Supérieur. doi:10.3917/dbu.depov.2011.01.0137.</w:t>
      </w:r>
    </w:p>
    <w:p w:rsidR="00F52359" w:rsidRPr="00F52359" w:rsidRDefault="00F52359" w:rsidP="00F52359">
      <w:pPr>
        <w:pStyle w:val="Standard"/>
        <w:spacing w:after="120"/>
        <w:ind w:left="284" w:hanging="284"/>
        <w:rPr>
          <w:sz w:val="18"/>
          <w:szCs w:val="18"/>
        </w:rPr>
      </w:pPr>
      <w:r w:rsidRPr="00F52359">
        <w:rPr>
          <w:sz w:val="18"/>
          <w:szCs w:val="18"/>
        </w:rPr>
        <w:t>Heutte, J. (2011). La part du collectif dans la motivation et son impact sur le bien-être comme médiateur de la réussite des étudiants. Complémentarités et contributions entre l’autodétermination, l’auto-efficacité et l’autotélisme [thèse de doctorat, Université Paris Ouest Nanterre La Défense]. Archive ouverte HAL. https://tel.archives-ouvertes.fr/tel-00933690/document</w:t>
      </w:r>
    </w:p>
    <w:p w:rsidR="00F52359" w:rsidRPr="00F52359" w:rsidRDefault="00F52359" w:rsidP="00F52359">
      <w:pPr>
        <w:pStyle w:val="Standard"/>
        <w:spacing w:after="120"/>
        <w:ind w:left="284" w:hanging="284"/>
        <w:rPr>
          <w:sz w:val="18"/>
          <w:szCs w:val="18"/>
        </w:rPr>
      </w:pPr>
      <w:r w:rsidRPr="00F52359">
        <w:rPr>
          <w:sz w:val="18"/>
          <w:szCs w:val="18"/>
        </w:rPr>
        <w:t>Heutte, J., Fenouillet, F., Vallerand, R. (2016, septembre). Proposition d’une méthode et d’outils pour étudier le côté obscur du flow en contexte éducatif. 57e Congrès annuel de la Société Française de Psychologie. Nanterre, France.</w:t>
      </w:r>
    </w:p>
    <w:p w:rsidR="00F52359" w:rsidRPr="00F52359" w:rsidRDefault="00F52359" w:rsidP="00F52359">
      <w:pPr>
        <w:pStyle w:val="Standard"/>
        <w:spacing w:after="120"/>
        <w:ind w:left="284" w:hanging="284"/>
        <w:rPr>
          <w:sz w:val="18"/>
          <w:szCs w:val="18"/>
        </w:rPr>
      </w:pPr>
      <w:r w:rsidRPr="00F52359">
        <w:rPr>
          <w:sz w:val="18"/>
          <w:szCs w:val="18"/>
        </w:rPr>
        <w:t>Heutte, Jean. (2017). L’environnement optimal d’apprentissage : contribution de la recherche empirique sur les déterminants psychologiques de l’expérience positive subjective aux sciences de l’éducation et de la formation des adultes. Sciences &amp; Bonheur. 2. 82-98.</w:t>
      </w:r>
    </w:p>
    <w:p w:rsidR="00F52359" w:rsidRPr="00F52359" w:rsidRDefault="00F52359" w:rsidP="00F52359">
      <w:pPr>
        <w:pStyle w:val="Standard"/>
        <w:spacing w:after="120"/>
        <w:ind w:left="284" w:hanging="284"/>
        <w:rPr>
          <w:sz w:val="18"/>
          <w:szCs w:val="18"/>
        </w:rPr>
      </w:pPr>
      <w:r w:rsidRPr="00F52359">
        <w:rPr>
          <w:sz w:val="18"/>
          <w:szCs w:val="18"/>
        </w:rPr>
        <w:t>Heutte, J. (2017a). Les communautés d’apprenance, un cadre de référence pour l’étude du e-learning. Dans O. Las Vergnas (dir.), Le e-learning informel. Paris, France : Éditions des archives contemporaines.</w:t>
      </w:r>
    </w:p>
    <w:p w:rsidR="00F52359" w:rsidRPr="00F52359" w:rsidRDefault="00F52359" w:rsidP="00F52359">
      <w:pPr>
        <w:pStyle w:val="Standard"/>
        <w:spacing w:after="120"/>
        <w:ind w:left="284" w:hanging="284"/>
        <w:rPr>
          <w:sz w:val="18"/>
          <w:szCs w:val="18"/>
        </w:rPr>
      </w:pPr>
      <w:r w:rsidRPr="00F52359">
        <w:rPr>
          <w:sz w:val="18"/>
          <w:szCs w:val="18"/>
        </w:rPr>
        <w:t>Heutte, J. (2017b). La persistance de la motivation et l’expérience du flow : un cadre de référence pour l’étude du e-learning. Dans O. Las Vergnas (dir.), Le e-learning informel. Paris, France : Éditions des archives contemporaines.</w:t>
      </w:r>
    </w:p>
    <w:p w:rsidR="00F52359" w:rsidRPr="00F52359" w:rsidRDefault="00F52359" w:rsidP="00F52359">
      <w:pPr>
        <w:pStyle w:val="Standard"/>
        <w:spacing w:after="120"/>
        <w:ind w:left="284" w:hanging="284"/>
        <w:rPr>
          <w:sz w:val="18"/>
          <w:szCs w:val="18"/>
        </w:rPr>
      </w:pPr>
      <w:r w:rsidRPr="00F52359">
        <w:rPr>
          <w:sz w:val="18"/>
          <w:szCs w:val="18"/>
        </w:rPr>
        <w:t>Jézégou, A. (2010). Créer de la présence à distance en e-learning: Cadre théorique, définition, et dimensions clés. Distances et savoirs, vol. 8(2), 257-274. https://www.cairn.info/revue-distances-et-savoirs-2010-2-page-257.htm.</w:t>
      </w:r>
    </w:p>
    <w:p w:rsidR="00F52359" w:rsidRPr="00F52359" w:rsidRDefault="00F52359" w:rsidP="00F52359">
      <w:pPr>
        <w:pStyle w:val="Standard"/>
        <w:spacing w:after="120"/>
        <w:ind w:left="284" w:hanging="284"/>
        <w:rPr>
          <w:sz w:val="18"/>
          <w:szCs w:val="18"/>
        </w:rPr>
      </w:pPr>
      <w:r w:rsidRPr="00F52359">
        <w:rPr>
          <w:sz w:val="18"/>
          <w:szCs w:val="18"/>
        </w:rPr>
        <w:t>Lat, M. et Sidir, M, (2015). L’intégration des TIC dans l’enseignement supérieur au Sénégal: émergence de l’hypermédiatisation. Dans H2PTM'15 : le numérique à l'ère de l'Internet des objets, de l'hypertexte à l'hyper-objet, Saleh, I. (dir.). ISTE Editions, Londres.</w:t>
      </w:r>
    </w:p>
    <w:p w:rsidR="00F52359" w:rsidRPr="00F52359" w:rsidRDefault="00F52359" w:rsidP="00F52359">
      <w:pPr>
        <w:pStyle w:val="Standard"/>
        <w:spacing w:after="120"/>
        <w:ind w:left="284" w:hanging="284"/>
        <w:rPr>
          <w:sz w:val="18"/>
          <w:szCs w:val="18"/>
        </w:rPr>
      </w:pPr>
      <w:r w:rsidRPr="00F52359">
        <w:rPr>
          <w:sz w:val="18"/>
          <w:szCs w:val="18"/>
        </w:rPr>
        <w:t>Legendre, R. (1993). Dictionnaire actuel de l’éducation. (3e éd.). Guérin Canada</w:t>
      </w:r>
    </w:p>
    <w:p w:rsidR="00F52359" w:rsidRPr="00F52359" w:rsidRDefault="00F52359" w:rsidP="00F52359">
      <w:pPr>
        <w:pStyle w:val="Standard"/>
        <w:spacing w:after="120"/>
        <w:ind w:left="284" w:hanging="284"/>
        <w:rPr>
          <w:sz w:val="18"/>
          <w:szCs w:val="18"/>
        </w:rPr>
      </w:pPr>
      <w:r w:rsidRPr="00F52359">
        <w:rPr>
          <w:sz w:val="18"/>
          <w:szCs w:val="18"/>
        </w:rPr>
        <w:t>Richer, S. F., &amp; Vallerand, R. J. (1998 ). Sentiment d’appartenance sociale. Revue Européenne de Psychologie Appliquée, 48, 129-37.</w:t>
      </w:r>
    </w:p>
    <w:p w:rsidR="00F52359" w:rsidRPr="00F52359" w:rsidRDefault="00F52359" w:rsidP="00F52359">
      <w:pPr>
        <w:pStyle w:val="Standard"/>
        <w:spacing w:after="120"/>
        <w:ind w:left="284" w:hanging="284"/>
        <w:rPr>
          <w:sz w:val="18"/>
          <w:szCs w:val="18"/>
        </w:rPr>
      </w:pPr>
      <w:r w:rsidRPr="00F52359">
        <w:rPr>
          <w:sz w:val="18"/>
          <w:szCs w:val="18"/>
        </w:rPr>
        <w:t>Rondier, M. (2004). A. Bandura. Auto-efficacité : le sentiment d’efficacité personnelle. L'orientation scolaire et professionnelle. 33/3, 475-476.</w:t>
      </w:r>
    </w:p>
    <w:p w:rsidR="00F52359" w:rsidRPr="00F52359" w:rsidRDefault="00F52359" w:rsidP="00F52359">
      <w:pPr>
        <w:pStyle w:val="Standard"/>
        <w:spacing w:after="120"/>
        <w:ind w:left="284" w:hanging="284"/>
        <w:rPr>
          <w:sz w:val="18"/>
          <w:szCs w:val="18"/>
        </w:rPr>
      </w:pPr>
      <w:r w:rsidRPr="00F52359">
        <w:rPr>
          <w:sz w:val="18"/>
          <w:szCs w:val="18"/>
        </w:rPr>
        <w:t>Sarrazin, P., Pelletier, L., Deci, E., et Ryan, R. (2011). Nourrir une motivation autonome et des conséquences positives dans différents milieux de vie : les apports de la théorie de l’autodétermination. Dans Traité de psychologie positive (pp.273-312). De Boeck.</w:t>
      </w:r>
    </w:p>
    <w:p w:rsidR="00F52359" w:rsidRDefault="00F52359" w:rsidP="00F52359">
      <w:pPr>
        <w:pStyle w:val="Standard"/>
        <w:spacing w:after="120"/>
        <w:ind w:left="284" w:hanging="284"/>
        <w:rPr>
          <w:sz w:val="18"/>
          <w:szCs w:val="18"/>
        </w:rPr>
      </w:pPr>
      <w:r w:rsidRPr="00F52359">
        <w:rPr>
          <w:sz w:val="18"/>
          <w:szCs w:val="18"/>
        </w:rPr>
        <w:t>Schwarzer, R., &amp; Jerusalem, M. (1995). Generalized Self-Efficacy scale. In J. Weinman, S. Wright, &amp; M. Johnston, Measures in health psychology: A user’s portfolio. Causal and control beliefs (pp. 35-37). Windsor, UK: NFER-NELSON.</w:t>
      </w:r>
    </w:p>
    <w:p w:rsidR="00BE0484" w:rsidRDefault="00BE0484" w:rsidP="00BE0484">
      <w:pPr>
        <w:pStyle w:val="Titre2"/>
      </w:pPr>
      <w:r>
        <w:lastRenderedPageBreak/>
        <w:t>Bibliographie conseillée</w:t>
      </w:r>
    </w:p>
    <w:p w:rsidR="00F52359" w:rsidRPr="00F52359" w:rsidRDefault="00F52359" w:rsidP="00F52359">
      <w:pPr>
        <w:pStyle w:val="Standard"/>
        <w:spacing w:after="120"/>
        <w:ind w:left="284" w:hanging="284"/>
        <w:rPr>
          <w:sz w:val="18"/>
          <w:szCs w:val="18"/>
        </w:rPr>
      </w:pPr>
      <w:r w:rsidRPr="00F52359">
        <w:rPr>
          <w:sz w:val="18"/>
          <w:szCs w:val="18"/>
        </w:rPr>
        <w:t>Bois, A. (2013). Le leadership situationnel appliqué au management de la relation fournisseur. Gestion et management. ffdumas-00933603</w:t>
      </w:r>
    </w:p>
    <w:p w:rsidR="00F52359" w:rsidRPr="00F52359" w:rsidRDefault="00F52359" w:rsidP="00F52359">
      <w:pPr>
        <w:pStyle w:val="Standard"/>
        <w:spacing w:after="120"/>
        <w:ind w:left="284" w:hanging="284"/>
        <w:rPr>
          <w:sz w:val="18"/>
          <w:szCs w:val="18"/>
        </w:rPr>
      </w:pPr>
      <w:r w:rsidRPr="00F52359">
        <w:rPr>
          <w:sz w:val="18"/>
          <w:szCs w:val="18"/>
        </w:rPr>
        <w:t>Charlier, B., Docq, F., Lebrun, M., Lusalusa, S., Peeters, R., et Deschryver, N. (1999). « Tuteurs en ligne » : quels rôles, quelle formation ?. http://tecfa.unige.ch/perso/deschryv/doc/tuteurenligne.pdf</w:t>
      </w:r>
    </w:p>
    <w:p w:rsidR="00F52359" w:rsidRPr="00F52359" w:rsidRDefault="00F52359" w:rsidP="00F52359">
      <w:pPr>
        <w:pStyle w:val="Standard"/>
        <w:spacing w:after="120"/>
        <w:ind w:left="284" w:hanging="284"/>
        <w:rPr>
          <w:sz w:val="18"/>
          <w:szCs w:val="18"/>
        </w:rPr>
      </w:pPr>
      <w:r w:rsidRPr="00F52359">
        <w:rPr>
          <w:sz w:val="18"/>
          <w:szCs w:val="18"/>
        </w:rPr>
        <w:t>Diakhaté, D. (2014). Introduction pionnière du E-learning à l’Université et son rôle dans l’élaboration de nouvelles compétences technologiques : Le cas de l’EBAD. Knowledge Management for Development Journal, Taylor &amp; Francis (Routledge). Knowledge management for development in Africa, 10 (2), pp.19-32. https://hal.archives-ouvertes.fr/hal-01077000</w:t>
      </w:r>
    </w:p>
    <w:p w:rsidR="00F52359" w:rsidRPr="00F52359" w:rsidRDefault="00F52359" w:rsidP="00F52359">
      <w:pPr>
        <w:pStyle w:val="Standard"/>
        <w:spacing w:after="120"/>
        <w:ind w:left="284" w:hanging="284"/>
        <w:rPr>
          <w:sz w:val="18"/>
          <w:szCs w:val="18"/>
        </w:rPr>
      </w:pPr>
      <w:r w:rsidRPr="00F52359">
        <w:rPr>
          <w:sz w:val="18"/>
          <w:szCs w:val="18"/>
        </w:rPr>
        <w:t>Diop, M. L. (2015). E-Learning dans l'enseignement supérieur au Sénégal, entre succès et tensions : cas de deux établissements de l'université de Dakar. Adjectif [En ligne]. Mis en ligne le Samedi 4 juillet 2015. URL : http://www.adjectif.net/spip/spip.php?article35</w:t>
      </w:r>
    </w:p>
    <w:p w:rsidR="00F52359" w:rsidRPr="00F52359" w:rsidRDefault="00F52359" w:rsidP="00F52359">
      <w:pPr>
        <w:pStyle w:val="Standard"/>
        <w:spacing w:after="120"/>
        <w:ind w:left="284" w:hanging="284"/>
        <w:rPr>
          <w:sz w:val="18"/>
          <w:szCs w:val="18"/>
        </w:rPr>
      </w:pPr>
      <w:r w:rsidRPr="00F52359">
        <w:rPr>
          <w:sz w:val="18"/>
          <w:szCs w:val="18"/>
        </w:rPr>
        <w:t xml:space="preserve">Daele, A., Sylvestre, E. (2016). Comment développer le conseil pédagogique dans l’enseignement supérieur ? (1ère éd.). Editions Deboeck </w:t>
      </w:r>
    </w:p>
    <w:p w:rsidR="00F52359" w:rsidRPr="00F52359" w:rsidRDefault="00F52359" w:rsidP="00F52359">
      <w:pPr>
        <w:pStyle w:val="Standard"/>
        <w:spacing w:after="120"/>
        <w:ind w:left="284" w:hanging="284"/>
        <w:rPr>
          <w:sz w:val="18"/>
          <w:szCs w:val="18"/>
        </w:rPr>
      </w:pPr>
      <w:r w:rsidRPr="00F52359">
        <w:rPr>
          <w:sz w:val="18"/>
          <w:szCs w:val="18"/>
        </w:rPr>
        <w:t>Dalmas, M., Baudier, P. &amp; Dejoux, C. (2017). Formation ouverte à distance et motivation des apprenants. Management &amp; Avenir, 91(1), 39-63. doi:10.3917/mav.091.0039</w:t>
      </w:r>
    </w:p>
    <w:p w:rsidR="00F52359" w:rsidRPr="00F52359" w:rsidRDefault="00F52359" w:rsidP="00F52359">
      <w:pPr>
        <w:pStyle w:val="Standard"/>
        <w:spacing w:after="120"/>
        <w:ind w:left="284" w:hanging="284"/>
        <w:rPr>
          <w:sz w:val="18"/>
          <w:szCs w:val="18"/>
        </w:rPr>
      </w:pPr>
      <w:r w:rsidRPr="00F52359">
        <w:rPr>
          <w:sz w:val="18"/>
          <w:szCs w:val="18"/>
        </w:rPr>
        <w:t>Depover, C., De Lièvre, B., Peraya, D., Quintin, J. &amp; Jaillet, A. (2011). Le tutorat en formation à distance. Louvain-la-Neuve, Belgique. De Boeck Supérieur. doi:10.3917/dbu.depov.2011.01.</w:t>
      </w:r>
    </w:p>
    <w:p w:rsidR="00F52359" w:rsidRPr="00F52359" w:rsidRDefault="00F52359" w:rsidP="00F52359">
      <w:pPr>
        <w:pStyle w:val="Standard"/>
        <w:spacing w:after="120"/>
        <w:ind w:left="284" w:hanging="284"/>
        <w:rPr>
          <w:sz w:val="18"/>
          <w:szCs w:val="18"/>
        </w:rPr>
      </w:pPr>
      <w:r w:rsidRPr="00F52359">
        <w:rPr>
          <w:sz w:val="18"/>
          <w:szCs w:val="18"/>
        </w:rPr>
        <w:t>Gérin-Lajoie, Serge (2018, mai). L’encadrement des étudiants en formation à distance ou en ligne : que savons-nous et que reste-t-il à explorer ?. Communication présentée au 5e colloque international en éducation du CRIFPE, Montréal, Canada.</w:t>
      </w:r>
    </w:p>
    <w:p w:rsidR="00F52359" w:rsidRPr="00F52359" w:rsidRDefault="00F52359" w:rsidP="00F52359">
      <w:pPr>
        <w:pStyle w:val="Standard"/>
        <w:spacing w:after="120"/>
        <w:ind w:left="284" w:hanging="284"/>
        <w:rPr>
          <w:sz w:val="18"/>
          <w:szCs w:val="18"/>
        </w:rPr>
      </w:pPr>
      <w:r w:rsidRPr="00F52359">
        <w:rPr>
          <w:sz w:val="18"/>
          <w:szCs w:val="18"/>
        </w:rPr>
        <w:t xml:space="preserve">H2PTM’15 : le numérique à l’ère d’Internet des objets, de l’hypertexte à l’hyper-objet, coordonné par Imad Saleh, Valérie Carayol, Sylvie Leleu-Merviel, Luc asson, Loan Roxin, François Soulages, Adeline Wrona, Manuel Zacklad et Nasreddine Bouhaï, Londres, ISTE Edition, ISBN : 978-1-78405-115-0 (papier), ISBN : 978-1-78406-115-9 (ebook) </w:t>
      </w:r>
    </w:p>
    <w:p w:rsidR="00F52359" w:rsidRPr="00F52359" w:rsidRDefault="00F52359" w:rsidP="00F52359">
      <w:pPr>
        <w:pStyle w:val="Standard"/>
        <w:spacing w:after="120"/>
        <w:ind w:left="284" w:hanging="284"/>
        <w:rPr>
          <w:sz w:val="18"/>
          <w:szCs w:val="18"/>
        </w:rPr>
      </w:pPr>
      <w:r w:rsidRPr="00F52359">
        <w:rPr>
          <w:sz w:val="18"/>
          <w:szCs w:val="18"/>
        </w:rPr>
        <w:t>Micholet, M. (2018). Un tutorat transversal à distance et en ligne pour l’université. Linguistique. [Thèse de Doctorat. Université Paul Valéry - Montpellier III]. Archive ouverte HAL. https://tel.archives-ouvertes.fr/tel-02019880/document</w:t>
      </w:r>
    </w:p>
    <w:p w:rsidR="00F52359" w:rsidRPr="00F52359" w:rsidRDefault="00F52359" w:rsidP="00F52359">
      <w:pPr>
        <w:pStyle w:val="Standard"/>
        <w:spacing w:after="120"/>
        <w:ind w:left="284" w:hanging="284"/>
        <w:rPr>
          <w:sz w:val="18"/>
          <w:szCs w:val="18"/>
        </w:rPr>
      </w:pPr>
      <w:r w:rsidRPr="00F52359">
        <w:rPr>
          <w:sz w:val="18"/>
          <w:szCs w:val="18"/>
        </w:rPr>
        <w:t>Molinari, G., Poellhuber, B., Heutte, J., Lavoué, E., Sutter Widmer, D., et Caron, P-A. (2016). L’engagement et la persistance dans les dispositifs de formation en ligne. Distances et médiations des savoirs. Mis en ligne le 25 mars 2016, consulté le 25 mars 2016. URL : http://dms.revues.org/1332</w:t>
      </w:r>
    </w:p>
    <w:p w:rsidR="00F52359" w:rsidRPr="00F52359" w:rsidRDefault="00F52359" w:rsidP="00F52359">
      <w:pPr>
        <w:pStyle w:val="Standard"/>
        <w:spacing w:after="120"/>
        <w:ind w:left="284" w:hanging="284"/>
        <w:rPr>
          <w:sz w:val="18"/>
          <w:szCs w:val="18"/>
        </w:rPr>
      </w:pPr>
      <w:r w:rsidRPr="00F52359">
        <w:rPr>
          <w:sz w:val="18"/>
          <w:szCs w:val="18"/>
        </w:rPr>
        <w:t>MERS. (2013). Concertation Nationale sur l’avenir de l’enseignement supérieur au Sénégal : rapport général. République du Sénégal.</w:t>
      </w:r>
    </w:p>
    <w:p w:rsidR="00F52359" w:rsidRPr="00F52359" w:rsidRDefault="00F52359" w:rsidP="00F52359">
      <w:pPr>
        <w:pStyle w:val="Standard"/>
        <w:spacing w:after="120"/>
        <w:ind w:left="284" w:hanging="284"/>
        <w:rPr>
          <w:sz w:val="18"/>
          <w:szCs w:val="18"/>
        </w:rPr>
      </w:pPr>
      <w:r w:rsidRPr="00F52359">
        <w:rPr>
          <w:sz w:val="18"/>
          <w:szCs w:val="18"/>
        </w:rPr>
        <w:t>Lat, M. et Sidir, M, (2015). L’intégration des TIC dans l’enseignement supérieur au Sénégal: émergence de l’hypermédiatisation. Dans H2PTM'15 : le numérique à l'ère de l'Internet des objets, de l'hypertexte à l'hyper-objet, Saleh, I. (dir.). ISTE Editions, Londres.</w:t>
      </w:r>
    </w:p>
    <w:p w:rsidR="00F52359" w:rsidRPr="00F52359" w:rsidRDefault="00F52359" w:rsidP="00F52359">
      <w:pPr>
        <w:pStyle w:val="Standard"/>
        <w:spacing w:after="120"/>
        <w:ind w:left="284" w:hanging="284"/>
        <w:rPr>
          <w:sz w:val="18"/>
          <w:szCs w:val="18"/>
        </w:rPr>
      </w:pPr>
      <w:r w:rsidRPr="00F52359">
        <w:rPr>
          <w:sz w:val="18"/>
          <w:szCs w:val="18"/>
        </w:rPr>
        <w:t xml:space="preserve">Noe, R.A. (1986). Trainee's attributes and attitudes: Neglected influences on training effectiveness. Academy of Management Review, vol. 11 , p. 736-749. </w:t>
      </w:r>
    </w:p>
    <w:p w:rsidR="00F52359" w:rsidRDefault="00F52359" w:rsidP="00F52359">
      <w:pPr>
        <w:pStyle w:val="Standard"/>
        <w:spacing w:after="120"/>
        <w:ind w:left="284" w:hanging="284"/>
        <w:rPr>
          <w:sz w:val="18"/>
          <w:szCs w:val="18"/>
        </w:rPr>
      </w:pPr>
      <w:r w:rsidRPr="00F52359">
        <w:rPr>
          <w:sz w:val="18"/>
          <w:szCs w:val="18"/>
        </w:rPr>
        <w:t>Rondier, M. (2004). A. Bandura. Auto-efficacité : le sentiment d’efficacité personnelle. L'orientation scolaire et professionnelle. 33/3, 475-476.</w:t>
      </w:r>
    </w:p>
    <w:p w:rsidR="00F52359" w:rsidRDefault="00F52359" w:rsidP="00BE0484">
      <w:pPr>
        <w:pStyle w:val="Standard"/>
        <w:spacing w:after="120"/>
        <w:ind w:left="284" w:hanging="284"/>
        <w:rPr>
          <w:sz w:val="18"/>
          <w:szCs w:val="18"/>
        </w:rPr>
      </w:pPr>
      <w:bookmarkStart w:id="1" w:name="_GoBack"/>
      <w:bookmarkEnd w:id="1"/>
    </w:p>
    <w:sectPr w:rsidR="00F52359" w:rsidSect="007A509D">
      <w:headerReference w:type="default" r:id="rId7"/>
      <w:footerReference w:type="default" r:id="rId8"/>
      <w:pgSz w:w="11906" w:h="16838"/>
      <w:pgMar w:top="1985" w:right="1985" w:bottom="1985" w:left="1985" w:header="720" w:footer="1701"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333" w:rsidRDefault="002A6333" w:rsidP="00DE74E6">
      <w:r>
        <w:separator/>
      </w:r>
    </w:p>
  </w:endnote>
  <w:endnote w:type="continuationSeparator" w:id="1">
    <w:p w:rsidR="002A6333" w:rsidRDefault="002A6333" w:rsidP="00DE74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06A" w:rsidRDefault="007A509D">
    <w:pPr>
      <w:pStyle w:val="Pieddepage"/>
    </w:pPr>
    <w:r>
      <w:rPr>
        <w:noProof/>
        <w:lang w:eastAsia="fr-FR"/>
      </w:rPr>
      <w:pict>
        <v:shapetype id="_x0000_t202" coordsize="21600,21600" o:spt="202" path="m,l,21600r21600,l21600,xe">
          <v:stroke joinstyle="miter"/>
          <v:path gradientshapeok="t" o:connecttype="rect"/>
        </v:shapetype>
        <v:shape id="Cadre1" o:spid="_x0000_s2049" type="#_x0000_t202" style="position:absolute;left:0;text-align:left;margin-left:0;margin-top:.05pt;width:5.05pt;height:11.55pt;z-index:251659264;visibility:visibl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" stroked="f">
          <v:fill opacity="0"/>
          <v:textbox inset="0,0,0,0">
            <w:txbxContent>
              <w:p w:rsidR="0047706A" w:rsidRDefault="007A509D">
                <w:pPr>
                  <w:pStyle w:val="Pieddepage"/>
                </w:pPr>
                <w:r>
                  <w:rPr>
                    <w:rStyle w:val="Numrodepage"/>
                  </w:rPr>
                  <w:fldChar w:fldCharType="begin"/>
                </w:r>
                <w:r w:rsidR="00580DB2">
                  <w:rPr>
                    <w:rStyle w:val="Numrodepage"/>
                  </w:rPr>
                  <w:instrText>PAGE</w:instrText>
                </w:r>
                <w:r>
                  <w:rPr>
                    <w:rStyle w:val="Numrodepage"/>
                  </w:rPr>
                  <w:fldChar w:fldCharType="separate"/>
                </w:r>
                <w:r w:rsidR="008E02CB">
                  <w:rPr>
                    <w:rStyle w:val="Numrodepage"/>
                    <w:noProof/>
                  </w:rPr>
                  <w:t>1</w:t>
                </w:r>
                <w:r>
                  <w:rPr>
                    <w:rStyle w:val="Numrodepage"/>
                  </w:rPr>
                  <w:fldChar w:fldCharType="end"/>
                </w:r>
              </w:p>
            </w:txbxContent>
          </v:textbox>
          <w10:wrap type="square" side="largest"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333" w:rsidRDefault="002A6333" w:rsidP="00DE74E6">
      <w:r>
        <w:separator/>
      </w:r>
    </w:p>
  </w:footnote>
  <w:footnote w:type="continuationSeparator" w:id="1">
    <w:p w:rsidR="002A6333" w:rsidRDefault="002A6333" w:rsidP="00DE74E6">
      <w:r>
        <w:continuationSeparator/>
      </w:r>
    </w:p>
  </w:footnote>
  <w:footnote w:id="2">
    <w:p w:rsidR="00DE74E6" w:rsidRPr="001151F6" w:rsidRDefault="00DE74E6" w:rsidP="00DE74E6">
      <w:pPr>
        <w:pStyle w:val="Notedebasdepage"/>
        <w:rPr>
          <w:szCs w:val="18"/>
        </w:rPr>
      </w:pPr>
      <w:r w:rsidRPr="001151F6">
        <w:rPr>
          <w:rStyle w:val="Appelnotedebasdep"/>
          <w:szCs w:val="18"/>
        </w:rPr>
        <w:footnoteRef/>
      </w:r>
      <w:r w:rsidR="001151F6" w:rsidRPr="001151F6">
        <w:rPr>
          <w:szCs w:val="18"/>
        </w:rPr>
        <w:t xml:space="preserve">1. </w:t>
      </w:r>
      <w:r w:rsidRPr="001151F6">
        <w:rPr>
          <w:szCs w:val="18"/>
        </w:rPr>
        <w:t>Définition issue du dictionnaire en ligne CORDIAL.</w:t>
      </w:r>
    </w:p>
    <w:p w:rsidR="00DE74E6" w:rsidRDefault="00DE74E6" w:rsidP="00DE74E6">
      <w:pPr>
        <w:pStyle w:val="Notedebasdepage"/>
      </w:pPr>
      <w:r w:rsidRPr="001151F6">
        <w:rPr>
          <w:szCs w:val="18"/>
        </w:rPr>
        <w:t xml:space="preserve">Consulté le 1 juin 2020 sur </w:t>
      </w:r>
      <w:hyperlink r:id="rId1" w:history="1">
        <w:r w:rsidRPr="001151F6">
          <w:rPr>
            <w:szCs w:val="18"/>
          </w:rPr>
          <w:t>https://www.cordial.fr/dictionnaire/definition/autot%C3%A9lisme.php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06A" w:rsidRDefault="0023691D">
    <w:pPr>
      <w:pStyle w:val="En-tte"/>
      <w:jc w:val="center"/>
      <w:rPr>
        <w:i/>
      </w:rPr>
    </w:pPr>
    <w:r>
      <w:rPr>
        <w:i/>
      </w:rPr>
      <w:t>Tutorat et maintien de la motivation en e-formation universitaire : le cas du Sénégal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807FF"/>
    <w:multiLevelType w:val="multilevel"/>
    <w:tmpl w:val="F3580838"/>
    <w:lvl w:ilvl="0">
      <w:start w:val="1"/>
      <w:numFmt w:val="decimal"/>
      <w:pStyle w:val="Titre1"/>
      <w:lvlText w:val="%1."/>
      <w:lvlJc w:val="left"/>
      <w:pPr>
        <w:ind w:left="720" w:hanging="360"/>
      </w:pPr>
      <w:rPr>
        <w:rFonts w:cs="Times New Roman"/>
      </w:rPr>
    </w:lvl>
    <w:lvl w:ilvl="1">
      <w:start w:val="1"/>
      <w:numFmt w:val="decimal"/>
      <w:pStyle w:val="Titre2"/>
      <w:lvlText w:val="%1.%2"/>
      <w:lvlJc w:val="left"/>
      <w:pPr>
        <w:ind w:left="1080" w:hanging="360"/>
      </w:pPr>
      <w:rPr>
        <w:rFonts w:cs="Times New Roman"/>
      </w:rPr>
    </w:lvl>
    <w:lvl w:ilvl="2">
      <w:start w:val="1"/>
      <w:numFmt w:val="decimal"/>
      <w:pStyle w:val="Titre3"/>
      <w:lvlText w:val="%1.%2.%3"/>
      <w:lvlJc w:val="left"/>
      <w:pPr>
        <w:ind w:left="1800" w:hanging="720"/>
      </w:pPr>
      <w:rPr>
        <w:rFonts w:cs="Times New Roman"/>
      </w:rPr>
    </w:lvl>
    <w:lvl w:ilvl="3">
      <w:start w:val="1"/>
      <w:numFmt w:val="decimal"/>
      <w:lvlText w:val="%1.%2.%3.%4"/>
      <w:lvlJc w:val="left"/>
      <w:pPr>
        <w:ind w:left="2160" w:hanging="720"/>
      </w:pPr>
      <w:rPr>
        <w:rFonts w:cs="Times New Roman"/>
      </w:rPr>
    </w:lvl>
    <w:lvl w:ilvl="4">
      <w:start w:val="1"/>
      <w:numFmt w:val="decimal"/>
      <w:lvlText w:val="%1.%2.%3.%4.%5"/>
      <w:lvlJc w:val="left"/>
      <w:pPr>
        <w:ind w:left="2520" w:hanging="720"/>
      </w:pPr>
      <w:rPr>
        <w:rFonts w:cs="Times New Roman"/>
      </w:rPr>
    </w:lvl>
    <w:lvl w:ilvl="5">
      <w:start w:val="1"/>
      <w:numFmt w:val="decimal"/>
      <w:lvlText w:val="%1.%2.%3.%4.%5.%6"/>
      <w:lvlJc w:val="left"/>
      <w:pPr>
        <w:ind w:left="3240" w:hanging="1080"/>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320" w:hanging="1440"/>
      </w:pPr>
      <w:rPr>
        <w:rFonts w:cs="Times New Roman"/>
      </w:rPr>
    </w:lvl>
    <w:lvl w:ilvl="8">
      <w:start w:val="1"/>
      <w:numFmt w:val="decimal"/>
      <w:lvlText w:val="%1.%2.%3.%4.%5.%6.%7.%8.%9"/>
      <w:lvlJc w:val="left"/>
      <w:pPr>
        <w:ind w:left="4680" w:hanging="1440"/>
      </w:pPr>
      <w:rPr>
        <w:rFonts w:cs="Times New Roman"/>
      </w:rPr>
    </w:lvl>
  </w:abstractNum>
  <w:abstractNum w:abstractNumId="1">
    <w:nsid w:val="23E70025"/>
    <w:multiLevelType w:val="multilevel"/>
    <w:tmpl w:val="516AD582"/>
    <w:lvl w:ilvl="0">
      <w:start w:val="1"/>
      <w:numFmt w:val="bullet"/>
      <w:lvlText w:val="-"/>
      <w:lvlJc w:val="left"/>
      <w:pPr>
        <w:ind w:left="720" w:hanging="360"/>
      </w:pPr>
      <w:rPr>
        <w:rFonts w:ascii="Garamond" w:hAnsi="Garamond" w:cs="Garamond"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FE860C2"/>
    <w:multiLevelType w:val="multilevel"/>
    <w:tmpl w:val="5F72EEDE"/>
    <w:styleLink w:val="Outline"/>
    <w:lvl w:ilvl="0">
      <w:start w:val="1"/>
      <w:numFmt w:val="decimal"/>
      <w:lvlText w:val="%1."/>
      <w:lvlJc w:val="left"/>
      <w:pPr>
        <w:ind w:left="567" w:hanging="567"/>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567" w:hanging="567"/>
      </w:pPr>
      <w:rPr>
        <w:rFonts w:cs="Times New Roman"/>
      </w:r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nsid w:val="5FFD3980"/>
    <w:multiLevelType w:val="multilevel"/>
    <w:tmpl w:val="58C4CEC0"/>
    <w:lvl w:ilvl="0">
      <w:start w:val="1"/>
      <w:numFmt w:val="decimal"/>
      <w:lvlText w:val="%1."/>
      <w:lvlJc w:val="left"/>
      <w:pPr>
        <w:ind w:left="720" w:hanging="360"/>
      </w:pPr>
    </w:lvl>
    <w:lvl w:ilvl="1">
      <w:start w:val="1"/>
      <w:numFmt w:val="decimal"/>
      <w:lvlText w:val="%1.%2"/>
      <w:lvlJc w:val="left"/>
      <w:pPr>
        <w:ind w:left="1080" w:hanging="360"/>
      </w:pPr>
      <w:rPr>
        <w:rFonts w:cs="Times New Roman"/>
      </w:rPr>
    </w:lvl>
    <w:lvl w:ilvl="2">
      <w:start w:val="1"/>
      <w:numFmt w:val="decimal"/>
      <w:lvlText w:val="%1.%2.%3"/>
      <w:lvlJc w:val="left"/>
      <w:pPr>
        <w:ind w:left="1800" w:hanging="720"/>
      </w:pPr>
      <w:rPr>
        <w:rFonts w:cs="Times New Roman"/>
      </w:rPr>
    </w:lvl>
    <w:lvl w:ilvl="3">
      <w:start w:val="1"/>
      <w:numFmt w:val="decimal"/>
      <w:lvlText w:val="%1.%2.%3.%4"/>
      <w:lvlJc w:val="left"/>
      <w:pPr>
        <w:ind w:left="2160" w:hanging="720"/>
      </w:pPr>
      <w:rPr>
        <w:rFonts w:cs="Times New Roman"/>
      </w:rPr>
    </w:lvl>
    <w:lvl w:ilvl="4">
      <w:start w:val="1"/>
      <w:numFmt w:val="decimal"/>
      <w:lvlText w:val="%1.%2.%3.%4.%5"/>
      <w:lvlJc w:val="left"/>
      <w:pPr>
        <w:ind w:left="2520" w:hanging="720"/>
      </w:pPr>
      <w:rPr>
        <w:rFonts w:cs="Times New Roman"/>
      </w:rPr>
    </w:lvl>
    <w:lvl w:ilvl="5">
      <w:start w:val="1"/>
      <w:numFmt w:val="decimal"/>
      <w:lvlText w:val="%1.%2.%3.%4.%5.%6"/>
      <w:lvlJc w:val="left"/>
      <w:pPr>
        <w:ind w:left="3240" w:hanging="1080"/>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320" w:hanging="1440"/>
      </w:pPr>
      <w:rPr>
        <w:rFonts w:cs="Times New Roman"/>
      </w:rPr>
    </w:lvl>
    <w:lvl w:ilvl="8">
      <w:start w:val="1"/>
      <w:numFmt w:val="decimal"/>
      <w:lvlText w:val="%1.%2.%3.%4.%5.%6.%7.%8.%9"/>
      <w:lvlJc w:val="left"/>
      <w:pPr>
        <w:ind w:left="4680" w:hanging="1440"/>
      </w:pPr>
      <w:rPr>
        <w:rFonts w:cs="Times New Roman"/>
      </w:rPr>
    </w:lvl>
  </w:abstractNum>
  <w:abstractNum w:abstractNumId="4">
    <w:nsid w:val="7A5A2752"/>
    <w:multiLevelType w:val="multilevel"/>
    <w:tmpl w:val="784698B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DE74E6"/>
    <w:rsid w:val="00077FD7"/>
    <w:rsid w:val="001151F6"/>
    <w:rsid w:val="00224935"/>
    <w:rsid w:val="0023691D"/>
    <w:rsid w:val="00284DF0"/>
    <w:rsid w:val="002A6333"/>
    <w:rsid w:val="00580DB2"/>
    <w:rsid w:val="0071423D"/>
    <w:rsid w:val="007A509D"/>
    <w:rsid w:val="008E02CB"/>
    <w:rsid w:val="009A1B69"/>
    <w:rsid w:val="00A37736"/>
    <w:rsid w:val="00BE0484"/>
    <w:rsid w:val="00DE74E6"/>
    <w:rsid w:val="00E06128"/>
    <w:rsid w:val="00F04EBD"/>
    <w:rsid w:val="00F52359"/>
    <w:rsid w:val="00FC086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4E6"/>
    <w:pPr>
      <w:spacing w:after="0" w:line="240" w:lineRule="auto"/>
      <w:jc w:val="both"/>
    </w:pPr>
    <w:rPr>
      <w:rFonts w:ascii="Times New Roman" w:eastAsia="Times New Roman" w:hAnsi="Times New Roman" w:cs="Times New Roman"/>
      <w:sz w:val="20"/>
      <w:szCs w:val="24"/>
      <w:lang w:eastAsia="zh-CN"/>
    </w:rPr>
  </w:style>
  <w:style w:type="paragraph" w:styleId="Titre1">
    <w:name w:val="heading 1"/>
    <w:basedOn w:val="Normal"/>
    <w:next w:val="Normal"/>
    <w:link w:val="Titre1Car"/>
    <w:qFormat/>
    <w:rsid w:val="00DE74E6"/>
    <w:pPr>
      <w:keepNext/>
      <w:numPr>
        <w:numId w:val="1"/>
      </w:numPr>
      <w:tabs>
        <w:tab w:val="left" w:pos="567"/>
      </w:tabs>
      <w:spacing w:before="360" w:after="240"/>
      <w:ind w:left="567" w:hanging="567"/>
      <w:outlineLvl w:val="0"/>
    </w:pPr>
    <w:rPr>
      <w:b/>
      <w:bCs/>
      <w:kern w:val="2"/>
      <w:sz w:val="22"/>
      <w:szCs w:val="32"/>
    </w:rPr>
  </w:style>
  <w:style w:type="paragraph" w:styleId="Titre2">
    <w:name w:val="heading 2"/>
    <w:basedOn w:val="Normal"/>
    <w:next w:val="Normal"/>
    <w:link w:val="Titre2Car"/>
    <w:qFormat/>
    <w:rsid w:val="00DE74E6"/>
    <w:pPr>
      <w:keepNext/>
      <w:numPr>
        <w:ilvl w:val="1"/>
        <w:numId w:val="1"/>
      </w:numPr>
      <w:tabs>
        <w:tab w:val="left" w:pos="567"/>
      </w:tabs>
      <w:spacing w:before="240" w:after="240"/>
      <w:ind w:left="567" w:hanging="567"/>
      <w:outlineLvl w:val="1"/>
    </w:pPr>
    <w:rPr>
      <w:b/>
      <w:bCs/>
      <w:i/>
      <w:iCs/>
      <w:szCs w:val="20"/>
    </w:rPr>
  </w:style>
  <w:style w:type="paragraph" w:styleId="Titre3">
    <w:name w:val="heading 3"/>
    <w:basedOn w:val="Normal"/>
    <w:next w:val="Normal"/>
    <w:link w:val="Titre3Car"/>
    <w:qFormat/>
    <w:rsid w:val="00DE74E6"/>
    <w:pPr>
      <w:keepNext/>
      <w:numPr>
        <w:ilvl w:val="2"/>
        <w:numId w:val="1"/>
      </w:numPr>
      <w:tabs>
        <w:tab w:val="left" w:pos="567"/>
      </w:tabs>
      <w:spacing w:before="240" w:after="240"/>
      <w:ind w:left="567" w:hanging="567"/>
      <w:outlineLvl w:val="2"/>
    </w:pPr>
    <w:rPr>
      <w:bCs/>
      <w:i/>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E74E6"/>
    <w:rPr>
      <w:rFonts w:ascii="Times New Roman" w:eastAsia="Times New Roman" w:hAnsi="Times New Roman" w:cs="Times New Roman"/>
      <w:b/>
      <w:bCs/>
      <w:kern w:val="2"/>
      <w:szCs w:val="32"/>
      <w:lang w:eastAsia="zh-CN"/>
    </w:rPr>
  </w:style>
  <w:style w:type="character" w:customStyle="1" w:styleId="Titre2Car">
    <w:name w:val="Titre 2 Car"/>
    <w:basedOn w:val="Policepardfaut"/>
    <w:link w:val="Titre2"/>
    <w:rsid w:val="00DE74E6"/>
    <w:rPr>
      <w:rFonts w:ascii="Times New Roman" w:eastAsia="Times New Roman" w:hAnsi="Times New Roman" w:cs="Times New Roman"/>
      <w:b/>
      <w:bCs/>
      <w:i/>
      <w:iCs/>
      <w:sz w:val="20"/>
      <w:szCs w:val="20"/>
      <w:lang w:eastAsia="zh-CN"/>
    </w:rPr>
  </w:style>
  <w:style w:type="character" w:customStyle="1" w:styleId="Titre3Car">
    <w:name w:val="Titre 3 Car"/>
    <w:basedOn w:val="Policepardfaut"/>
    <w:link w:val="Titre3"/>
    <w:rsid w:val="00DE74E6"/>
    <w:rPr>
      <w:rFonts w:ascii="Times New Roman" w:eastAsia="Times New Roman" w:hAnsi="Times New Roman" w:cs="Times New Roman"/>
      <w:bCs/>
      <w:i/>
      <w:sz w:val="20"/>
      <w:szCs w:val="20"/>
      <w:lang w:eastAsia="zh-CN"/>
    </w:rPr>
  </w:style>
  <w:style w:type="character" w:styleId="Numrodepage">
    <w:name w:val="page number"/>
    <w:rsid w:val="00DE74E6"/>
    <w:rPr>
      <w:rFonts w:cs="Times New Roman"/>
    </w:rPr>
  </w:style>
  <w:style w:type="character" w:customStyle="1" w:styleId="Caractresdenotedebasdepage">
    <w:name w:val="Caractères de note de bas de page"/>
    <w:qFormat/>
    <w:rsid w:val="00DE74E6"/>
    <w:rPr>
      <w:position w:val="6"/>
      <w:sz w:val="16"/>
    </w:rPr>
  </w:style>
  <w:style w:type="character" w:customStyle="1" w:styleId="LienInternet">
    <w:name w:val="Lien Internet"/>
    <w:rsid w:val="00DE74E6"/>
    <w:rPr>
      <w:color w:val="0000FF"/>
      <w:u w:val="single"/>
    </w:rPr>
  </w:style>
  <w:style w:type="character" w:customStyle="1" w:styleId="Ancredenotedebasdepage">
    <w:name w:val="Ancre de note de bas de page"/>
    <w:rsid w:val="00DE74E6"/>
    <w:rPr>
      <w:vertAlign w:val="superscript"/>
    </w:rPr>
  </w:style>
  <w:style w:type="paragraph" w:styleId="Corpsdetexte">
    <w:name w:val="Body Text"/>
    <w:basedOn w:val="Normal"/>
    <w:link w:val="CorpsdetexteCar"/>
    <w:rsid w:val="00DE74E6"/>
    <w:pPr>
      <w:spacing w:after="120"/>
      <w:ind w:firstLine="284"/>
    </w:pPr>
    <w:rPr>
      <w:szCs w:val="20"/>
    </w:rPr>
  </w:style>
  <w:style w:type="character" w:customStyle="1" w:styleId="CorpsdetexteCar">
    <w:name w:val="Corps de texte Car"/>
    <w:basedOn w:val="Policepardfaut"/>
    <w:link w:val="Corpsdetexte"/>
    <w:rsid w:val="00DE74E6"/>
    <w:rPr>
      <w:rFonts w:ascii="Times New Roman" w:eastAsia="Times New Roman" w:hAnsi="Times New Roman" w:cs="Times New Roman"/>
      <w:sz w:val="20"/>
      <w:szCs w:val="20"/>
      <w:lang w:eastAsia="zh-CN"/>
    </w:rPr>
  </w:style>
  <w:style w:type="paragraph" w:styleId="Pieddepage">
    <w:name w:val="footer"/>
    <w:basedOn w:val="Normal"/>
    <w:link w:val="PieddepageCar"/>
    <w:rsid w:val="00DE74E6"/>
    <w:pPr>
      <w:tabs>
        <w:tab w:val="center" w:pos="4536"/>
        <w:tab w:val="right" w:pos="9072"/>
      </w:tabs>
    </w:pPr>
  </w:style>
  <w:style w:type="character" w:customStyle="1" w:styleId="PieddepageCar">
    <w:name w:val="Pied de page Car"/>
    <w:basedOn w:val="Policepardfaut"/>
    <w:link w:val="Pieddepage"/>
    <w:rsid w:val="00DE74E6"/>
    <w:rPr>
      <w:rFonts w:ascii="Times New Roman" w:eastAsia="Times New Roman" w:hAnsi="Times New Roman" w:cs="Times New Roman"/>
      <w:sz w:val="20"/>
      <w:szCs w:val="24"/>
      <w:lang w:eastAsia="zh-CN"/>
    </w:rPr>
  </w:style>
  <w:style w:type="paragraph" w:styleId="En-tte">
    <w:name w:val="header"/>
    <w:basedOn w:val="Normal"/>
    <w:link w:val="En-tteCar"/>
    <w:rsid w:val="00DE74E6"/>
    <w:pPr>
      <w:tabs>
        <w:tab w:val="center" w:pos="4536"/>
        <w:tab w:val="right" w:pos="9072"/>
      </w:tabs>
    </w:pPr>
  </w:style>
  <w:style w:type="character" w:customStyle="1" w:styleId="En-tteCar">
    <w:name w:val="En-tête Car"/>
    <w:basedOn w:val="Policepardfaut"/>
    <w:link w:val="En-tte"/>
    <w:rsid w:val="00DE74E6"/>
    <w:rPr>
      <w:rFonts w:ascii="Times New Roman" w:eastAsia="Times New Roman" w:hAnsi="Times New Roman" w:cs="Times New Roman"/>
      <w:sz w:val="20"/>
      <w:szCs w:val="24"/>
      <w:lang w:eastAsia="zh-CN"/>
    </w:rPr>
  </w:style>
  <w:style w:type="paragraph" w:customStyle="1" w:styleId="Illustration">
    <w:name w:val="Illustration"/>
    <w:basedOn w:val="Normal"/>
    <w:qFormat/>
    <w:rsid w:val="00DE74E6"/>
    <w:pPr>
      <w:keepNext/>
      <w:keepLines/>
      <w:widowControl w:val="0"/>
      <w:jc w:val="center"/>
    </w:pPr>
    <w:rPr>
      <w:sz w:val="18"/>
      <w:szCs w:val="20"/>
    </w:rPr>
  </w:style>
  <w:style w:type="paragraph" w:styleId="Notedebasdepage">
    <w:name w:val="footnote text"/>
    <w:basedOn w:val="Normal"/>
    <w:link w:val="NotedebasdepageCar"/>
    <w:rsid w:val="00DE74E6"/>
    <w:pPr>
      <w:keepLines/>
      <w:spacing w:before="40"/>
      <w:ind w:right="-23"/>
      <w:jc w:val="left"/>
    </w:pPr>
    <w:rPr>
      <w:sz w:val="18"/>
      <w:szCs w:val="20"/>
    </w:rPr>
  </w:style>
  <w:style w:type="character" w:customStyle="1" w:styleId="NotedebasdepageCar">
    <w:name w:val="Note de bas de page Car"/>
    <w:basedOn w:val="Policepardfaut"/>
    <w:link w:val="Notedebasdepage"/>
    <w:rsid w:val="00DE74E6"/>
    <w:rPr>
      <w:rFonts w:ascii="Times New Roman" w:eastAsia="Times New Roman" w:hAnsi="Times New Roman" w:cs="Times New Roman"/>
      <w:sz w:val="18"/>
      <w:szCs w:val="20"/>
      <w:lang w:eastAsia="zh-CN"/>
    </w:rPr>
  </w:style>
  <w:style w:type="paragraph" w:styleId="NormalWeb">
    <w:name w:val="Normal (Web)"/>
    <w:basedOn w:val="Normal"/>
    <w:qFormat/>
    <w:rsid w:val="00DE74E6"/>
    <w:pPr>
      <w:spacing w:before="280" w:after="119"/>
      <w:jc w:val="left"/>
    </w:pPr>
    <w:rPr>
      <w:rFonts w:ascii="Times" w:hAnsi="Times" w:cs="Times"/>
      <w:szCs w:val="20"/>
    </w:rPr>
  </w:style>
  <w:style w:type="paragraph" w:customStyle="1" w:styleId="Standard">
    <w:name w:val="Standard"/>
    <w:rsid w:val="00DE74E6"/>
    <w:pPr>
      <w:suppressAutoHyphens/>
      <w:autoSpaceDN w:val="0"/>
      <w:spacing w:after="0" w:line="240" w:lineRule="auto"/>
      <w:jc w:val="both"/>
      <w:textAlignment w:val="baseline"/>
    </w:pPr>
    <w:rPr>
      <w:rFonts w:ascii="Times New Roman" w:eastAsia="Times New Roman" w:hAnsi="Times New Roman" w:cs="Times New Roman"/>
      <w:kern w:val="3"/>
      <w:sz w:val="20"/>
      <w:szCs w:val="24"/>
      <w:lang w:eastAsia="zh-CN"/>
    </w:rPr>
  </w:style>
  <w:style w:type="paragraph" w:customStyle="1" w:styleId="Textbody">
    <w:name w:val="Text body"/>
    <w:basedOn w:val="Standard"/>
    <w:rsid w:val="00DE74E6"/>
    <w:pPr>
      <w:spacing w:after="120"/>
      <w:ind w:firstLine="284"/>
    </w:pPr>
    <w:rPr>
      <w:szCs w:val="20"/>
    </w:rPr>
  </w:style>
  <w:style w:type="character" w:styleId="Appelnotedebasdep">
    <w:name w:val="footnote reference"/>
    <w:basedOn w:val="Policepardfaut"/>
    <w:rsid w:val="00DE74E6"/>
    <w:rPr>
      <w:position w:val="0"/>
      <w:vertAlign w:val="superscript"/>
    </w:rPr>
  </w:style>
  <w:style w:type="numbering" w:customStyle="1" w:styleId="Outline">
    <w:name w:val="Outline"/>
    <w:basedOn w:val="Aucuneliste"/>
    <w:rsid w:val="00DE74E6"/>
    <w:pPr>
      <w:numPr>
        <w:numId w:val="4"/>
      </w:numPr>
    </w:pPr>
  </w:style>
  <w:style w:type="character" w:styleId="Marquedecommentaire">
    <w:name w:val="annotation reference"/>
    <w:basedOn w:val="Policepardfaut"/>
    <w:uiPriority w:val="99"/>
    <w:semiHidden/>
    <w:unhideWhenUsed/>
    <w:rsid w:val="00F04EBD"/>
    <w:rPr>
      <w:sz w:val="16"/>
      <w:szCs w:val="16"/>
    </w:rPr>
  </w:style>
  <w:style w:type="paragraph" w:styleId="Commentaire">
    <w:name w:val="annotation text"/>
    <w:basedOn w:val="Normal"/>
    <w:link w:val="CommentaireCar"/>
    <w:uiPriority w:val="99"/>
    <w:semiHidden/>
    <w:unhideWhenUsed/>
    <w:rsid w:val="00F04EBD"/>
    <w:rPr>
      <w:szCs w:val="20"/>
    </w:rPr>
  </w:style>
  <w:style w:type="character" w:customStyle="1" w:styleId="CommentaireCar">
    <w:name w:val="Commentaire Car"/>
    <w:basedOn w:val="Policepardfaut"/>
    <w:link w:val="Commentaire"/>
    <w:uiPriority w:val="99"/>
    <w:semiHidden/>
    <w:rsid w:val="00F04EBD"/>
    <w:rPr>
      <w:rFonts w:ascii="Times New Roman" w:eastAsia="Times New Roman" w:hAnsi="Times New Roman" w:cs="Times New Roman"/>
      <w:sz w:val="20"/>
      <w:szCs w:val="20"/>
      <w:lang w:eastAsia="zh-CN"/>
    </w:rPr>
  </w:style>
  <w:style w:type="paragraph" w:styleId="Objetducommentaire">
    <w:name w:val="annotation subject"/>
    <w:basedOn w:val="Commentaire"/>
    <w:next w:val="Commentaire"/>
    <w:link w:val="ObjetducommentaireCar"/>
    <w:uiPriority w:val="99"/>
    <w:semiHidden/>
    <w:unhideWhenUsed/>
    <w:rsid w:val="00F04EBD"/>
    <w:rPr>
      <w:b/>
      <w:bCs/>
    </w:rPr>
  </w:style>
  <w:style w:type="character" w:customStyle="1" w:styleId="ObjetducommentaireCar">
    <w:name w:val="Objet du commentaire Car"/>
    <w:basedOn w:val="CommentaireCar"/>
    <w:link w:val="Objetducommentaire"/>
    <w:uiPriority w:val="99"/>
    <w:semiHidden/>
    <w:rsid w:val="00F04EBD"/>
    <w:rPr>
      <w:rFonts w:ascii="Times New Roman" w:eastAsia="Times New Roman" w:hAnsi="Times New Roman" w:cs="Times New Roman"/>
      <w:b/>
      <w:bCs/>
      <w:sz w:val="20"/>
      <w:szCs w:val="20"/>
      <w:lang w:eastAsia="zh-CN"/>
    </w:rPr>
  </w:style>
  <w:style w:type="paragraph" w:styleId="Textedebulles">
    <w:name w:val="Balloon Text"/>
    <w:basedOn w:val="Normal"/>
    <w:link w:val="TextedebullesCar"/>
    <w:uiPriority w:val="99"/>
    <w:semiHidden/>
    <w:unhideWhenUsed/>
    <w:rsid w:val="00F04EB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04EBD"/>
    <w:rPr>
      <w:rFonts w:ascii="Segoe UI" w:eastAsia="Times New Roman" w:hAnsi="Segoe UI" w:cs="Segoe UI"/>
      <w:sz w:val="18"/>
      <w:szCs w:val="18"/>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ordial.fr/dictionnaire/definition/autot&#233;lism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1940</Words>
  <Characters>10672</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MARESCAUX Clément</dc:creator>
  <cp:lastModifiedBy>User</cp:lastModifiedBy>
  <cp:revision>2</cp:revision>
  <dcterms:created xsi:type="dcterms:W3CDTF">2020-06-08T18:31:00Z</dcterms:created>
  <dcterms:modified xsi:type="dcterms:W3CDTF">2020-06-08T18:31:00Z</dcterms:modified>
</cp:coreProperties>
</file>