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C8" w:rsidRDefault="00545FC8" w:rsidP="00545FC8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DUREN </w:t>
      </w:r>
      <w:r>
        <w:rPr>
          <w:rStyle w:val="lev"/>
          <w:sz w:val="40"/>
          <w:szCs w:val="40"/>
        </w:rPr>
        <w:t xml:space="preserve"> </w:t>
      </w:r>
    </w:p>
    <w:p w:rsidR="00545FC8" w:rsidRDefault="00545FC8" w:rsidP="00545FC8">
      <w:pPr>
        <w:pStyle w:val="Question"/>
        <w:rPr>
          <w:rStyle w:val="lev"/>
          <w:sz w:val="40"/>
          <w:szCs w:val="40"/>
        </w:rPr>
      </w:pPr>
      <w:r>
        <w:rPr>
          <w:rStyle w:val="lev"/>
          <w:sz w:val="40"/>
          <w:szCs w:val="40"/>
        </w:rPr>
        <w:t xml:space="preserve">Atelier 2 : problématisation </w:t>
      </w:r>
    </w:p>
    <w:p w:rsidR="00545FC8" w:rsidRDefault="00545FC8" w:rsidP="00545FC8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Activité </w:t>
      </w:r>
      <w:r>
        <w:rPr>
          <w:rStyle w:val="lev"/>
          <w:sz w:val="40"/>
          <w:szCs w:val="40"/>
        </w:rPr>
        <w:t>2.1</w:t>
      </w:r>
    </w:p>
    <w:p w:rsidR="00545FC8" w:rsidRDefault="00545FC8" w:rsidP="00545FC8">
      <w:pPr>
        <w:pStyle w:val="Question"/>
        <w:rPr>
          <w:rStyle w:val="lev"/>
        </w:rPr>
      </w:pPr>
      <w:r w:rsidRPr="00F36D9A">
        <w:rPr>
          <w:rStyle w:val="lev"/>
        </w:rPr>
        <w:t>Rédaction de la problématique.</w:t>
      </w:r>
    </w:p>
    <w:p w:rsidR="00545FC8" w:rsidRPr="00545FC8" w:rsidRDefault="00545FC8" w:rsidP="00545FC8">
      <w:pPr>
        <w:pStyle w:val="Question"/>
        <w:rPr>
          <w:rStyle w:val="lev"/>
          <w:szCs w:val="24"/>
        </w:rPr>
      </w:pPr>
    </w:p>
    <w:p w:rsidR="00C92D6C" w:rsidRDefault="00545FC8" w:rsidP="00545FC8">
      <w:r w:rsidRPr="00F36D9A">
        <w:rPr>
          <w:rStyle w:val="lev"/>
        </w:rPr>
        <w:br/>
      </w:r>
      <w:r w:rsidR="00C92D6C">
        <w:t xml:space="preserve">L’évaluation </w:t>
      </w:r>
      <w:r w:rsidR="007F47C2">
        <w:t xml:space="preserve">prend </w:t>
      </w:r>
      <w:r w:rsidR="00C92D6C">
        <w:t xml:space="preserve"> une part importante dans la charge de travail d’un enseignant.</w:t>
      </w:r>
      <w:r w:rsidR="007F47C2">
        <w:br/>
      </w:r>
      <w:r w:rsidR="00C92D6C">
        <w:t>Aujourd’hui les outils numériques utiles à l’évaluation</w:t>
      </w:r>
      <w:r w:rsidR="00FD6EA7">
        <w:t xml:space="preserve"> automatiques</w:t>
      </w:r>
      <w:r w:rsidR="00C92D6C">
        <w:t xml:space="preserve"> deviennent de plus en plus faciles à utiliser et sont largement diffusés.</w:t>
      </w:r>
    </w:p>
    <w:p w:rsidR="002C066A" w:rsidRDefault="002C066A" w:rsidP="002C066A">
      <w:r>
        <w:t>Whitelock &amp; Brasher (2019) définissent l’évaluation numérique au sens large de la façon suivante :</w:t>
      </w:r>
    </w:p>
    <w:p w:rsidR="002C066A" w:rsidRDefault="002C066A" w:rsidP="00517DF5">
      <w:pPr>
        <w:pStyle w:val="citation"/>
        <w:ind w:left="567" w:right="567"/>
      </w:pPr>
      <w:r>
        <w:t xml:space="preserve"> e-Assessment is defined in its broadest sense, where information technology is used for any assessment</w:t>
      </w:r>
      <w:r w:rsidR="00BD589A">
        <w:t xml:space="preserve"> </w:t>
      </w:r>
      <w:r>
        <w:t>related activity. e-Assessment can be used to assess cognitive and practical abilities. Cognitive abilities are assessed using e-testing software, while practical abilities are assessed using e-portfolios or simulation software. (p. 3).</w:t>
      </w:r>
    </w:p>
    <w:p w:rsidR="00401D2D" w:rsidRDefault="002C066A" w:rsidP="00672AF7">
      <w:r>
        <w:t>Elle offre</w:t>
      </w:r>
      <w:r w:rsidR="00401D2D">
        <w:t xml:space="preserve"> des avantages indéniables :</w:t>
      </w:r>
    </w:p>
    <w:p w:rsidR="00401D2D" w:rsidRDefault="00401D2D" w:rsidP="006B3B30">
      <w:pPr>
        <w:pStyle w:val="Paragraphedeliste"/>
        <w:numPr>
          <w:ilvl w:val="0"/>
          <w:numId w:val="38"/>
        </w:numPr>
      </w:pPr>
      <w:r>
        <w:t>grâce  à eux, l’enseignant peut  se décharger d’une tâche particulièrement chronophage ;</w:t>
      </w:r>
    </w:p>
    <w:p w:rsidR="00401D2D" w:rsidRDefault="00401D2D" w:rsidP="006B3B30">
      <w:pPr>
        <w:pStyle w:val="Paragraphedeliste"/>
        <w:numPr>
          <w:ilvl w:val="0"/>
          <w:numId w:val="38"/>
        </w:numPr>
      </w:pPr>
      <w:r>
        <w:t>ils offrent la  garantie d’une correction objective ;</w:t>
      </w:r>
    </w:p>
    <w:p w:rsidR="00401D2D" w:rsidRDefault="00401D2D" w:rsidP="006B3B30">
      <w:pPr>
        <w:pStyle w:val="Paragraphedeliste"/>
        <w:numPr>
          <w:ilvl w:val="0"/>
          <w:numId w:val="38"/>
        </w:numPr>
      </w:pPr>
      <w:r>
        <w:t>ils permettent de fournir un feed-back immédiat aux apprenants.</w:t>
      </w:r>
    </w:p>
    <w:p w:rsidR="00EB15A3" w:rsidRDefault="00EB15A3" w:rsidP="00EB15A3">
      <w:r>
        <w:t xml:space="preserve">Libérés de la partie la plus répétitive, la moins valorisée et la plus contraignante de leur activité, les enseignants peuvent ainsi mieux montrer leur expertise à </w:t>
      </w:r>
      <w:r w:rsidR="002C066A">
        <w:t>u</w:t>
      </w:r>
      <w:r>
        <w:t>n niveau supérieur de complexité.</w:t>
      </w:r>
    </w:p>
    <w:p w:rsidR="00401D2D" w:rsidRDefault="00A046A9" w:rsidP="00EB15A3">
      <w:r>
        <w:t>Malgré ses avantages, l’utilisation de l’évaluation numérique</w:t>
      </w:r>
      <w:r w:rsidR="003843C3">
        <w:t>, dont l’avènement est p</w:t>
      </w:r>
      <w:r w:rsidR="00070B69">
        <w:t>ourtant</w:t>
      </w:r>
      <w:r w:rsidR="003843C3">
        <w:t xml:space="preserve"> annoncé comme inexorable et inévitable (Benett 2002), </w:t>
      </w:r>
      <w:r>
        <w:t xml:space="preserve"> reste confidentielle tant au niveau micro (l’usage qu’en font les enseignants) qu’au niveau macro (circonscrites aux évaluations nationales en ligne</w:t>
      </w:r>
      <w:r w:rsidR="00EB15A3">
        <w:t>).</w:t>
      </w:r>
    </w:p>
    <w:p w:rsidR="009E2458" w:rsidRDefault="009E2458" w:rsidP="00EB15A3">
      <w:r>
        <w:lastRenderedPageBreak/>
        <w:t xml:space="preserve">Elle ouvre  pourtant de nouvelles perspectives quand il s’agit de dépasser des formes traditionnelles, voire routinières, d’évaluation, celles qui participent </w:t>
      </w:r>
      <w:r w:rsidR="00BD589A">
        <w:t xml:space="preserve">parfois </w:t>
      </w:r>
      <w:r>
        <w:t>d’une « pedagogy of poverty » (Haberman, 1991).</w:t>
      </w:r>
    </w:p>
    <w:p w:rsidR="00BD589A" w:rsidRDefault="00BD589A" w:rsidP="00BD589A">
      <w:r>
        <w:t>Une question se pose donc :</w:t>
      </w:r>
    </w:p>
    <w:p w:rsidR="004F3A98" w:rsidRDefault="00BD589A" w:rsidP="00905312">
      <w:pPr>
        <w:pStyle w:val="question0"/>
        <w:ind w:left="1134" w:right="1134"/>
      </w:pPr>
      <w:r>
        <w:t>C</w:t>
      </w:r>
      <w:r w:rsidRPr="00444408">
        <w:t xml:space="preserve">omment proposer une évaluation </w:t>
      </w:r>
      <w:r>
        <w:t xml:space="preserve">automatisée </w:t>
      </w:r>
      <w:r w:rsidRPr="00444408">
        <w:t>qui soit réellement intégrée au processus d’enseignement et d’apprentissage des élèves?</w:t>
      </w:r>
    </w:p>
    <w:p w:rsidR="004F3A98" w:rsidRDefault="004F3A98" w:rsidP="00EB15A3">
      <w:r>
        <w:t>Nous placerons notre recherche dans le cadre des mathématiques au lycée.</w:t>
      </w:r>
    </w:p>
    <w:p w:rsidR="00BD589A" w:rsidRDefault="00517DF5" w:rsidP="00EB15A3">
      <w:r>
        <w:t xml:space="preserve">Bloom ; Hasting et Madaus (1973) </w:t>
      </w:r>
      <w:r w:rsidR="00BD589A">
        <w:t xml:space="preserve">ont déjà </w:t>
      </w:r>
      <w:r>
        <w:t>montr</w:t>
      </w:r>
      <w:r w:rsidR="00BD589A">
        <w:t>é</w:t>
      </w:r>
      <w:r>
        <w:t xml:space="preserve"> comment </w:t>
      </w:r>
      <w:r w:rsidR="004C5366">
        <w:t xml:space="preserve">une </w:t>
      </w:r>
      <w:r w:rsidR="00BD589A">
        <w:t>forme d’évaluation qu’ils avaient conceptualisé</w:t>
      </w:r>
      <w:r w:rsidR="004C5366">
        <w:t>e</w:t>
      </w:r>
      <w:r w:rsidR="00BD589A">
        <w:t xml:space="preserve">, </w:t>
      </w:r>
      <w:r>
        <w:t>l’évaluation formative</w:t>
      </w:r>
      <w:r w:rsidR="00BD589A">
        <w:t xml:space="preserve">, </w:t>
      </w:r>
      <w:r>
        <w:t xml:space="preserve"> améliorait les résultats des élèves quand elle était intégrée aux processus d’apprentissage.</w:t>
      </w:r>
    </w:p>
    <w:p w:rsidR="00BD589A" w:rsidRDefault="00BD589A" w:rsidP="00EB15A3">
      <w:r>
        <w:t xml:space="preserve">Il s’agit ici, de dépasser l’opposition évaluation formative et évaluation sommative, opposition nuisible à l’apprentissage des élèves, comme l’a montré William (2000).  C’est dans ce but que l’approche de l’évaluation retenue est celle de </w:t>
      </w:r>
      <w:r w:rsidRPr="00FA0728">
        <w:rPr>
          <w:i/>
        </w:rPr>
        <w:t>l’assesment for learning</w:t>
      </w:r>
      <w:r>
        <w:t>, définie par The Assesment Reform Group, comme tout type d’évaluation vissant à améliorer les apprentissages des élèves.</w:t>
      </w:r>
    </w:p>
    <w:p w:rsidR="002E763C" w:rsidRDefault="00BD589A" w:rsidP="00982037">
      <w:r>
        <w:t xml:space="preserve">On peut trouver  un élément de réponse </w:t>
      </w:r>
      <w:r w:rsidR="004C5366">
        <w:t xml:space="preserve">à la question, </w:t>
      </w:r>
      <w:r>
        <w:t xml:space="preserve">dans un des critères </w:t>
      </w:r>
      <w:r w:rsidR="004545E1">
        <w:t>d’une bonne évaluation,</w:t>
      </w:r>
      <w:r>
        <w:t xml:space="preserve"> énoncé par </w:t>
      </w:r>
      <w:r w:rsidR="00E31807">
        <w:t>Kenneth Ruthven (1994)</w:t>
      </w:r>
      <w:r>
        <w:t xml:space="preserve">, </w:t>
      </w:r>
      <w:r w:rsidR="004545E1">
        <w:t>« </w:t>
      </w:r>
      <w:r w:rsidR="00E31807">
        <w:t>increasing the integration of processes of teaching, learning and assesment</w:t>
      </w:r>
      <w:r w:rsidR="004545E1">
        <w:t> »</w:t>
      </w:r>
      <w:r w:rsidR="00E31807">
        <w:t xml:space="preserve">. </w:t>
      </w:r>
    </w:p>
    <w:p w:rsidR="004F3A98" w:rsidRDefault="001E78DD" w:rsidP="00982037">
      <w:r>
        <w:t xml:space="preserve">Une voie vers cette intégration </w:t>
      </w:r>
      <w:r w:rsidR="004545E1">
        <w:t xml:space="preserve">des trois processus </w:t>
      </w:r>
      <w:r>
        <w:t>est celle d’Allal (Huberman (dir), 1993), à travers le concept de régulation et de sa déclinaison : interactive, rétroactive, pro</w:t>
      </w:r>
      <w:r w:rsidR="00296788">
        <w:t>a</w:t>
      </w:r>
      <w:r>
        <w:t>ctive.</w:t>
      </w:r>
      <w:r w:rsidR="00FA0728">
        <w:t xml:space="preserve"> Cette dernière forme a </w:t>
      </w:r>
      <w:r w:rsidR="00070B69">
        <w:t>depuis</w:t>
      </w:r>
      <w:r w:rsidR="00FA0728">
        <w:t xml:space="preserve"> été reprise par Perrenoud, pour étayer s</w:t>
      </w:r>
      <w:r w:rsidR="001116EB">
        <w:t>a</w:t>
      </w:r>
      <w:r w:rsidR="00FA0728">
        <w:t xml:space="preserve"> conception didactique de l’évaluation.</w:t>
      </w:r>
      <w:r w:rsidR="004F3A98">
        <w:br/>
        <w:t>La didactique est ici définie comme</w:t>
      </w:r>
      <w:r w:rsidR="004F3A98" w:rsidRPr="008C6466">
        <w:t xml:space="preserve"> l'étude systématique des méthodes et des pratiques de l'enseignement en général, ou de l'enseignement d'une discipline ou d'une matière particulière</w:t>
      </w:r>
      <w:r w:rsidR="004F3A98">
        <w:t xml:space="preserve"> (APPAC, </w:t>
      </w:r>
      <w:hyperlink r:id="rId8" w:history="1">
        <w:r w:rsidR="004F3A98">
          <w:rPr>
            <w:rStyle w:val="Lienhypertexte"/>
          </w:rPr>
          <w:t>http://www.appac.qc.ca/didactique.php</w:t>
        </w:r>
      </w:hyperlink>
      <w:r w:rsidR="004F3A98">
        <w:t>)</w:t>
      </w:r>
      <w:r w:rsidR="004F3A98" w:rsidRPr="008C6466">
        <w:t>.</w:t>
      </w:r>
      <w:r w:rsidR="004F3A98">
        <w:br/>
      </w:r>
    </w:p>
    <w:p w:rsidR="00905312" w:rsidRDefault="00905312" w:rsidP="00982037"/>
    <w:p w:rsidR="004545E1" w:rsidRDefault="002E763C" w:rsidP="004545E1">
      <w:r>
        <w:t xml:space="preserve">Ce lien entre évaluation et </w:t>
      </w:r>
      <w:r w:rsidR="004545E1">
        <w:t xml:space="preserve">didactique </w:t>
      </w:r>
      <w:r>
        <w:t xml:space="preserve"> est </w:t>
      </w:r>
      <w:r w:rsidR="00070B69">
        <w:t>également</w:t>
      </w:r>
      <w:r>
        <w:t xml:space="preserve"> développé Par</w:t>
      </w:r>
      <w:r w:rsidR="004C5366">
        <w:t xml:space="preserve"> Vanden Heuvel-Panhuizen (1996). E</w:t>
      </w:r>
      <w:r>
        <w:t xml:space="preserve">lle amène pour cela l’expression  « didactical assesment ».  Cette référence à la didactique à l’avantage, contrairement à l’approche psychométrique,  de recentrer  la recherche sur les réponses </w:t>
      </w:r>
      <w:r w:rsidR="004C5366">
        <w:t xml:space="preserve">mais </w:t>
      </w:r>
      <w:r>
        <w:t xml:space="preserve"> </w:t>
      </w:r>
      <w:r w:rsidR="004C5366">
        <w:t xml:space="preserve">aussi sur </w:t>
      </w:r>
      <w:r>
        <w:t xml:space="preserve">les pratiques des élèves </w:t>
      </w:r>
      <w:r w:rsidR="00C07BE7">
        <w:t>car,</w:t>
      </w:r>
      <w:r w:rsidR="00FA0728">
        <w:t xml:space="preserve"> « </w:t>
      </w:r>
      <w:r w:rsidR="00C07BE7">
        <w:t xml:space="preserve"> an assessment episode is a learning event for students</w:t>
      </w:r>
      <w:r w:rsidR="00FA0728">
        <w:t> »</w:t>
      </w:r>
      <w:r w:rsidR="00C07BE7">
        <w:t xml:space="preserve"> (Bonner,2013).</w:t>
      </w:r>
    </w:p>
    <w:p w:rsidR="00070B69" w:rsidRDefault="00070B69" w:rsidP="00070B69">
      <w:r>
        <w:t>Le cadre théorique pour tenter de répondre à cette question est celui de la théorie anthropologique du didactique (TAD), émise par Yves Chevallard.</w:t>
      </w:r>
      <w:r w:rsidR="004F3A98">
        <w:br/>
      </w:r>
      <w:r>
        <w:lastRenderedPageBreak/>
        <w:t>Entendons, par anthropologie, tout simplement l'étude de l'Homme. Cette étude au regroupe aussi bien la sociologie et l'ethnologie que la psychologie ou la psychanalyse.</w:t>
      </w:r>
    </w:p>
    <w:p w:rsidR="00135920" w:rsidRDefault="00070B69" w:rsidP="00070B69">
      <w:r>
        <w:t>L’anthropologie didactique des mathématiques, se voue donc spécifiquement à l'étude de l'Homme enseignant et apprenant des mathématiques.</w:t>
      </w:r>
      <w:r w:rsidR="00C75F38">
        <w:t xml:space="preserve"> Elle offre un cadre permettant au didacticien de se distancier de l’institution dans laquelle il évolue.</w:t>
      </w:r>
      <w:r w:rsidR="004F3A98">
        <w:br/>
      </w:r>
      <w:r>
        <w:t>Une notion centrale de la  TAD va cristalliser notre recherche, celle de praxéologie</w:t>
      </w:r>
      <w:r w:rsidR="00135920">
        <w:t>, définie par la revue de didactique des mathématiques</w:t>
      </w:r>
      <w:r w:rsidR="00135920">
        <w:rPr>
          <w:rStyle w:val="Appelnotedebasdep"/>
        </w:rPr>
        <w:footnoteReference w:id="2"/>
      </w:r>
      <w:r w:rsidR="00135920">
        <w:t xml:space="preserve"> comme : </w:t>
      </w:r>
    </w:p>
    <w:p w:rsidR="00135920" w:rsidRDefault="00135920" w:rsidP="00135920">
      <w:pPr>
        <w:ind w:left="567" w:right="567"/>
      </w:pPr>
      <w:r>
        <w:t xml:space="preserve"> la « science »</w:t>
      </w:r>
      <w:r w:rsidRPr="00135920">
        <w:t>, personnelle ou institutionnelle, d’une certaine pratique. Elle est ainsi relative à la personne qui met en œuvre cette praxéologie ou à l’institution au sein de laquelle cette praxéologie peut vivre.</w:t>
      </w:r>
    </w:p>
    <w:p w:rsidR="00070B69" w:rsidRDefault="00070B69" w:rsidP="00070B69">
      <w:r>
        <w:t xml:space="preserve"> Elle généralise</w:t>
      </w:r>
      <w:r w:rsidR="004C5366">
        <w:t xml:space="preserve"> différentes notions courantes,</w:t>
      </w:r>
      <w:r>
        <w:t xml:space="preserve"> celles de savoir et de savoir-faire, ou, en anglais, de skill, mot désignant de façon générique “an ability that has been acquired by training”.</w:t>
      </w:r>
      <w:r>
        <w:br/>
        <w:t>Nous reprenons le postulat de la TAD selon lequel toute activité humaine peut être modélisée par un quadruplet praxéologique (tâches, technique, technologie, théorie) appelé aussi une organisation mathématique ponctuelle.</w:t>
      </w:r>
    </w:p>
    <w:p w:rsidR="00070B69" w:rsidRDefault="00070B69" w:rsidP="00070B69">
      <w:r>
        <w:t>Plusieurs raisons nous ont conduits à nous placer dans le cadre de la TAD :</w:t>
      </w:r>
    </w:p>
    <w:p w:rsidR="00070B69" w:rsidRDefault="00070B69" w:rsidP="006B3B30">
      <w:pPr>
        <w:pStyle w:val="Paragraphedeliste"/>
        <w:numPr>
          <w:ilvl w:val="0"/>
          <w:numId w:val="39"/>
        </w:numPr>
        <w:spacing w:after="0"/>
        <w:ind w:right="567"/>
      </w:pPr>
      <w:r>
        <w:t>Le modèle praxéologique permet de décr</w:t>
      </w:r>
      <w:r w:rsidR="00135920">
        <w:t>ire les activités d’évaluation ;</w:t>
      </w:r>
    </w:p>
    <w:p w:rsidR="00070B69" w:rsidRDefault="00070B69" w:rsidP="006B3B30">
      <w:pPr>
        <w:pStyle w:val="Paragraphedeliste"/>
        <w:numPr>
          <w:ilvl w:val="0"/>
          <w:numId w:val="39"/>
        </w:numPr>
        <w:spacing w:after="0"/>
        <w:ind w:right="567"/>
      </w:pPr>
      <w:r>
        <w:t xml:space="preserve">Le modèle praxéologique peut être formalisé pour une implémentation informatique et donc en une modélisation informatique des </w:t>
      </w:r>
      <w:r w:rsidR="00135920">
        <w:t>connaissances (Chaachoua, 2018) ;</w:t>
      </w:r>
    </w:p>
    <w:p w:rsidR="00070B69" w:rsidRDefault="00070B69" w:rsidP="006B3B30">
      <w:pPr>
        <w:pStyle w:val="Paragraphedeliste"/>
        <w:numPr>
          <w:ilvl w:val="0"/>
          <w:numId w:val="39"/>
        </w:numPr>
        <w:spacing w:after="0"/>
        <w:ind w:right="567"/>
      </w:pPr>
      <w:r>
        <w:t>Il permet de penser à la fois l’individu et l’institution dans laquelle il est pris, ainsi que leurs rapports lors de changements spontanés ou d’interventions spécifiques.</w:t>
      </w:r>
    </w:p>
    <w:p w:rsidR="00135920" w:rsidRDefault="00135920" w:rsidP="00135920">
      <w:pPr>
        <w:spacing w:after="0"/>
      </w:pPr>
    </w:p>
    <w:p w:rsidR="005D30D7" w:rsidRDefault="00070B69" w:rsidP="00BD59F5">
      <w:pPr>
        <w:spacing w:after="0"/>
      </w:pPr>
      <w:r>
        <w:t>Analyser les pratiques enseignantes : comment accomplir les tâches de tel type, et surtout comment accomplir autrement  les tâches de ce type ? Autant d’interrogations qui appellent une production de techniques et, donc, de praxéologies.</w:t>
      </w:r>
      <w:r w:rsidR="00A67FC5">
        <w:br/>
        <w:t>Nous  affinerons notre équipement théorique en nous plaçant dans le cadre didactique de l’évaluation défini par Sayac (2018) : épisodes évaluatifs et logique évaluative.</w:t>
      </w:r>
    </w:p>
    <w:p w:rsidR="00BD59F5" w:rsidRDefault="00BD59F5" w:rsidP="00BD59F5">
      <w:pPr>
        <w:spacing w:after="0"/>
      </w:pPr>
    </w:p>
    <w:p w:rsidR="00FD6EA7" w:rsidRPr="007A62AF" w:rsidRDefault="002C066A" w:rsidP="003843C3">
      <w:pPr>
        <w:rPr>
          <w:szCs w:val="24"/>
        </w:rPr>
      </w:pPr>
      <w:r>
        <w:t xml:space="preserve">Notre conception de la recherche est </w:t>
      </w:r>
      <w:r w:rsidR="00B0174E">
        <w:t xml:space="preserve"> pragmatique</w:t>
      </w:r>
      <w:r>
        <w:t xml:space="preserve">, au sens de Peirce. </w:t>
      </w:r>
      <w:r w:rsidR="006B3B30">
        <w:br/>
      </w:r>
      <w:r w:rsidR="00726C2C">
        <w:t>La question exige, en effet de considérer toutes les phases d’un processus qui va de la conception à l’évaluation en passant par l’implémentation et l’usage.</w:t>
      </w:r>
      <w:r w:rsidR="005D30D7">
        <w:br/>
      </w:r>
      <w:r w:rsidR="008B7D54">
        <w:t xml:space="preserve">La nécessité de discriminer les différents facteurs de choix, à différents niveaux, nous </w:t>
      </w:r>
      <w:r w:rsidR="008B7D54">
        <w:lastRenderedPageBreak/>
        <w:t>conduit à l’expérimentation. Ce choix s’insère également tout à fait dans une problématique d’innovation.</w:t>
      </w:r>
      <w:r w:rsidR="006B3B30">
        <w:br/>
      </w:r>
      <w:r>
        <w:t>Aucune pratique</w:t>
      </w:r>
      <w:r w:rsidR="005D30D7">
        <w:t xml:space="preserve"> dans le domaine d’investigation </w:t>
      </w:r>
      <w:r>
        <w:t xml:space="preserve"> n’étant consensuelle ni même formalisée, nous avons fait  le choix de construire notre propre artefact, en collaboration avec les </w:t>
      </w:r>
      <w:r w:rsidR="004545E1">
        <w:t>différents acteurs</w:t>
      </w:r>
      <w:r>
        <w:t>.</w:t>
      </w:r>
      <w:r w:rsidR="005D30D7">
        <w:br/>
      </w:r>
      <w:r w:rsidR="008B7D54">
        <w:t>La méthode retenue  est celle de la recherche-action</w:t>
      </w:r>
      <w:r w:rsidR="003843C3">
        <w:t>, pris</w:t>
      </w:r>
      <w:r w:rsidR="001F611C">
        <w:t>e</w:t>
      </w:r>
      <w:r w:rsidR="003843C3">
        <w:t xml:space="preserve"> comme un « processus de changement négocié » (Liu 1997), avec des acteurs relativement autonomes souvent rétifs à l’intervention d’experts.</w:t>
      </w:r>
      <w:r w:rsidR="005D30D7">
        <w:br/>
        <w:t>Elle visera à co-concevoir une ingénierie d’évaluation en ligne.</w:t>
      </w:r>
      <w:r w:rsidR="005D30D7">
        <w:br/>
      </w:r>
      <w:r w:rsidR="003843C3">
        <w:t>Le niveau retenu est celui du lycée,  la classe de seconde car elle dispose de l’effectif le plus important, la  matière est celle des mathématiques</w:t>
      </w:r>
      <w:r w:rsidR="003D56D7">
        <w:t>, permettant au chercheur de se présenter comme un pair et diminuer ainsi les biais par une plus grande proximité.</w:t>
      </w:r>
      <w:r w:rsidR="001F611C">
        <w:br/>
      </w:r>
      <w:r w:rsidR="00FD6EA7">
        <w:t>L</w:t>
      </w:r>
      <w:r w:rsidR="003D56D7">
        <w:t>’évaluation en ligne</w:t>
      </w:r>
      <w:r w:rsidR="005D30D7">
        <w:t xml:space="preserve"> dans le supérieur</w:t>
      </w:r>
      <w:r w:rsidR="003D56D7">
        <w:t xml:space="preserve"> a déjà été institutionnalisée (</w:t>
      </w:r>
      <w:r w:rsidR="005D30D7" w:rsidRPr="005D30D7">
        <w:t xml:space="preserve">Blais, </w:t>
      </w:r>
      <w:r w:rsidR="00AE13AC">
        <w:t xml:space="preserve">Gilles, Agustin, </w:t>
      </w:r>
      <w:r w:rsidR="005D30D7">
        <w:t>2015</w:t>
      </w:r>
      <w:r w:rsidR="003D56D7">
        <w:t>)</w:t>
      </w:r>
      <w:r w:rsidR="00FD6EA7">
        <w:t xml:space="preserve"> et son utilisation évaluée</w:t>
      </w:r>
      <w:r w:rsidR="00361122">
        <w:t>.</w:t>
      </w:r>
      <w:r w:rsidR="00361122">
        <w:br/>
      </w:r>
      <w:r w:rsidR="00AE13AC" w:rsidRPr="007A62AF">
        <w:rPr>
          <w:szCs w:val="24"/>
        </w:rPr>
        <w:t xml:space="preserve">Le niveau lycée </w:t>
      </w:r>
      <w:r w:rsidR="00361122" w:rsidRPr="007A62AF">
        <w:rPr>
          <w:szCs w:val="24"/>
        </w:rPr>
        <w:t>est peu</w:t>
      </w:r>
      <w:r w:rsidR="00AE13AC" w:rsidRPr="007A62AF">
        <w:rPr>
          <w:szCs w:val="24"/>
        </w:rPr>
        <w:t xml:space="preserve"> investigué, </w:t>
      </w:r>
      <w:r w:rsidR="00361122" w:rsidRPr="007A62AF">
        <w:rPr>
          <w:szCs w:val="24"/>
        </w:rPr>
        <w:t xml:space="preserve">et </w:t>
      </w:r>
      <w:r w:rsidR="00AE13AC" w:rsidRPr="007A62AF">
        <w:rPr>
          <w:szCs w:val="24"/>
        </w:rPr>
        <w:t xml:space="preserve"> l’angle de la didactique</w:t>
      </w:r>
      <w:r w:rsidR="00361122" w:rsidRPr="007A62AF">
        <w:rPr>
          <w:szCs w:val="24"/>
        </w:rPr>
        <w:t xml:space="preserve"> est une </w:t>
      </w:r>
      <w:r w:rsidR="001F611C" w:rsidRPr="007A62AF">
        <w:rPr>
          <w:szCs w:val="24"/>
        </w:rPr>
        <w:t>approche originale</w:t>
      </w:r>
      <w:r w:rsidR="00AE13AC" w:rsidRPr="007A62AF">
        <w:rPr>
          <w:szCs w:val="24"/>
        </w:rPr>
        <w:t>.</w:t>
      </w:r>
    </w:p>
    <w:p w:rsidR="002C066A" w:rsidRPr="00325E42" w:rsidRDefault="007A62AF" w:rsidP="002C066A">
      <w:pPr>
        <w:rPr>
          <w:szCs w:val="24"/>
          <w:u w:val="single"/>
        </w:rPr>
      </w:pPr>
      <w:r w:rsidRPr="00325E42">
        <w:rPr>
          <w:szCs w:val="24"/>
          <w:u w:val="single"/>
        </w:rPr>
        <w:t>Hypothèse 1 :</w:t>
      </w:r>
    </w:p>
    <w:p w:rsidR="007A62AF" w:rsidRDefault="007A62AF" w:rsidP="002C066A">
      <w:pPr>
        <w:rPr>
          <w:szCs w:val="24"/>
        </w:rPr>
      </w:pPr>
      <w:r>
        <w:rPr>
          <w:szCs w:val="24"/>
        </w:rPr>
        <w:t>L’élève ayant bénéficié d’un premier feed-back lors de l’évaluation automatisée s’investi</w:t>
      </w:r>
      <w:r w:rsidR="00DE3A49">
        <w:rPr>
          <w:szCs w:val="24"/>
        </w:rPr>
        <w:t>t</w:t>
      </w:r>
      <w:r>
        <w:rPr>
          <w:szCs w:val="24"/>
        </w:rPr>
        <w:t xml:space="preserve"> plus dans la régulation didactique.</w:t>
      </w:r>
    </w:p>
    <w:p w:rsidR="00325E42" w:rsidRPr="00DE3A49" w:rsidRDefault="00325E42" w:rsidP="002C066A">
      <w:pPr>
        <w:rPr>
          <w:szCs w:val="24"/>
          <w:u w:val="single"/>
        </w:rPr>
      </w:pPr>
      <w:r w:rsidRPr="00DE3A49">
        <w:rPr>
          <w:szCs w:val="24"/>
          <w:u w:val="single"/>
        </w:rPr>
        <w:t>Hypothèse 2 :</w:t>
      </w:r>
    </w:p>
    <w:p w:rsidR="00325E42" w:rsidRDefault="00325E42" w:rsidP="002C066A">
      <w:pPr>
        <w:rPr>
          <w:szCs w:val="24"/>
        </w:rPr>
      </w:pPr>
      <w:r>
        <w:t>Ce sont surtout les contraintes d’ordre organisationnel qui incitent les enseignants à recourir aux technologies numériques pour évaluer les apprentissages de leurs étudiants.</w:t>
      </w:r>
    </w:p>
    <w:p w:rsidR="00325E42" w:rsidRPr="007A62AF" w:rsidRDefault="00325E42" w:rsidP="002C066A">
      <w:pPr>
        <w:rPr>
          <w:szCs w:val="24"/>
        </w:rPr>
      </w:pPr>
    </w:p>
    <w:p w:rsidR="002C066A" w:rsidRPr="007A62AF" w:rsidRDefault="002C066A" w:rsidP="002C066A">
      <w:pPr>
        <w:rPr>
          <w:rFonts w:eastAsiaTheme="majorEastAsia" w:cstheme="majorBidi"/>
          <w:bCs/>
          <w:color w:val="365F91" w:themeColor="accent1" w:themeShade="BF"/>
          <w:szCs w:val="24"/>
        </w:rPr>
      </w:pPr>
    </w:p>
    <w:p w:rsidR="002C066A" w:rsidRDefault="002C066A">
      <w:pPr>
        <w:rPr>
          <w:rFonts w:eastAsiaTheme="majorEastAsia" w:cstheme="majorBidi"/>
          <w:bCs/>
          <w:color w:val="365F91" w:themeColor="accent1" w:themeShade="BF"/>
          <w:sz w:val="36"/>
          <w:szCs w:val="36"/>
        </w:rPr>
      </w:pPr>
      <w:r>
        <w:br w:type="page"/>
      </w:r>
    </w:p>
    <w:p w:rsidR="00C92D6C" w:rsidRDefault="00672AF7" w:rsidP="00FD6EA7">
      <w:pPr>
        <w:pStyle w:val="Titre1"/>
      </w:pPr>
      <w:r>
        <w:lastRenderedPageBreak/>
        <w:t xml:space="preserve">Bibliographie </w:t>
      </w:r>
    </w:p>
    <w:p w:rsidR="00CF622F" w:rsidRPr="00CF622F" w:rsidRDefault="00CF622F" w:rsidP="00CF622F"/>
    <w:p w:rsidR="00CF622F" w:rsidRDefault="00CF622F" w:rsidP="00CF622F">
      <w:pPr>
        <w:spacing w:line="240" w:lineRule="auto"/>
      </w:pPr>
      <w:r>
        <w:t xml:space="preserve">Allal, L., &amp; Huberman, A. M. (1993). </w:t>
      </w:r>
      <w:r>
        <w:rPr>
          <w:i/>
          <w:iCs/>
        </w:rPr>
        <w:t>Assurer la réussite des apprentissages scolaires? : Les</w:t>
      </w:r>
      <w:r>
        <w:rPr>
          <w:i/>
          <w:iCs/>
        </w:rPr>
        <w:br/>
        <w:t>propositions de la pédagogie de maîtrise</w:t>
      </w:r>
      <w:r>
        <w:t>. Delachaux et Niestlé.</w:t>
      </w:r>
    </w:p>
    <w:p w:rsidR="00CF622F" w:rsidRDefault="00CF622F" w:rsidP="00CF622F">
      <w:r>
        <w:t xml:space="preserve">Bennett, R.E. (2002). Inexorable and inevitable: The continuing story of technology and assessment. Journal of Technology, Learning, and Assessment, ı(ı). Available from </w:t>
      </w:r>
      <w:hyperlink r:id="rId9" w:history="1">
        <w:r w:rsidRPr="00F6733D">
          <w:rPr>
            <w:rStyle w:val="Lienhypertexte"/>
          </w:rPr>
          <w:t>http://www.jtla.org</w:t>
        </w:r>
      </w:hyperlink>
      <w:r>
        <w:t>.</w:t>
      </w:r>
    </w:p>
    <w:p w:rsidR="00CF622F" w:rsidRDefault="00CF622F" w:rsidP="00CF622F">
      <w:pPr>
        <w:spacing w:line="240" w:lineRule="auto"/>
      </w:pPr>
      <w:r>
        <w:t xml:space="preserve">Blais, J.-G., Gilles, J.-L., &amp; Tristan-Lopez, A. (Éds.). (2015). </w:t>
      </w:r>
      <w:r>
        <w:rPr>
          <w:i/>
          <w:iCs/>
        </w:rPr>
        <w:t>Bienvenue au 21e siècle : Évaluation des apprentissages et technologies de l’information et de la communication</w:t>
      </w:r>
      <w:r>
        <w:t>. P. Lang.</w:t>
      </w:r>
    </w:p>
    <w:p w:rsidR="00CF622F" w:rsidRDefault="00CF622F" w:rsidP="00CF622F">
      <w:pPr>
        <w:spacing w:line="240" w:lineRule="auto"/>
      </w:pPr>
      <w:r>
        <w:t xml:space="preserve">Bloom, B. S., Hastings, J. T., &amp; Madaus, G. F. (1971). </w:t>
      </w:r>
      <w:r>
        <w:rPr>
          <w:i/>
          <w:iCs/>
        </w:rPr>
        <w:t>Handbook on formative and summative evaluation of student learning</w:t>
      </w:r>
      <w:r>
        <w:t>. McGraw-Hill.</w:t>
      </w:r>
    </w:p>
    <w:p w:rsidR="00CF622F" w:rsidRDefault="00CF622F" w:rsidP="00CF622F">
      <w:pPr>
        <w:spacing w:line="240" w:lineRule="auto"/>
      </w:pPr>
      <w:r>
        <w:t xml:space="preserve">Bonner, S. M. (2013). Validity in Classroom Assessment : Purposes, Properties, and Principles. In </w:t>
      </w:r>
      <w:r>
        <w:rPr>
          <w:i/>
          <w:iCs/>
        </w:rPr>
        <w:t>SAGE Handbook of Research on Classroom Assessment</w:t>
      </w:r>
      <w:r>
        <w:t xml:space="preserve"> (p. 87</w:t>
      </w:r>
      <w:r>
        <w:noBreakHyphen/>
        <w:t xml:space="preserve">106). SAGE Publications, Inc. </w:t>
      </w:r>
      <w:hyperlink r:id="rId10" w:history="1">
        <w:r>
          <w:rPr>
            <w:rStyle w:val="Lienhypertexte"/>
          </w:rPr>
          <w:t>https://doi.org/10.4135/9781452218649.n6</w:t>
        </w:r>
      </w:hyperlink>
    </w:p>
    <w:p w:rsidR="00CF622F" w:rsidRDefault="00CF622F" w:rsidP="00CF622F">
      <w:pPr>
        <w:spacing w:line="240" w:lineRule="auto"/>
      </w:pPr>
      <w:r>
        <w:t xml:space="preserve">Chaachoua, H. (2010). La praxéologie comme modèle didactique pour la problématique EIAH. Etude de cas : La modélisation des connaissances des élèves. </w:t>
      </w:r>
      <w:r>
        <w:rPr>
          <w:i/>
          <w:iCs/>
        </w:rPr>
        <w:t>Séminaire national de didactique des mathématiques</w:t>
      </w:r>
      <w:r>
        <w:t xml:space="preserve">, 82. </w:t>
      </w:r>
      <w:hyperlink r:id="rId11" w:history="1">
        <w:r>
          <w:rPr>
            <w:rStyle w:val="Lienhypertexte"/>
          </w:rPr>
          <w:t>https://hal.archives-ouvertes.fr/hal-01282325</w:t>
        </w:r>
      </w:hyperlink>
    </w:p>
    <w:p w:rsidR="00CF622F" w:rsidRDefault="00CF622F" w:rsidP="00CF622F">
      <w:pPr>
        <w:spacing w:line="240" w:lineRule="auto"/>
      </w:pPr>
      <w:r>
        <w:t xml:space="preserve">Chevallard, Y, &amp; Feldmann, S. (1986). </w:t>
      </w:r>
      <w:r>
        <w:rPr>
          <w:i/>
          <w:iCs/>
        </w:rPr>
        <w:t>Pour une analyse didactique de l’évaluation</w:t>
      </w:r>
      <w:r>
        <w:t>. IREM.</w:t>
      </w:r>
    </w:p>
    <w:p w:rsidR="00CF622F" w:rsidRDefault="00CF622F" w:rsidP="00CF622F">
      <w:pPr>
        <w:spacing w:line="240" w:lineRule="auto"/>
      </w:pPr>
      <w:r>
        <w:t xml:space="preserve">Haberman Martin. (1991). The Pedagogy of Poverty versus Good Teaching. </w:t>
      </w:r>
      <w:r>
        <w:rPr>
          <w:i/>
          <w:iCs/>
        </w:rPr>
        <w:t>Phi Delta Kappan</w:t>
      </w:r>
      <w:r>
        <w:t xml:space="preserve">, </w:t>
      </w:r>
      <w:r>
        <w:rPr>
          <w:i/>
          <w:iCs/>
        </w:rPr>
        <w:t>73</w:t>
      </w:r>
      <w:r>
        <w:t>(4), 290</w:t>
      </w:r>
      <w:r>
        <w:noBreakHyphen/>
        <w:t>294.</w:t>
      </w:r>
    </w:p>
    <w:p w:rsidR="00CF622F" w:rsidRDefault="00CF622F" w:rsidP="00CF622F">
      <w:pPr>
        <w:spacing w:line="240" w:lineRule="auto"/>
      </w:pPr>
      <w:r>
        <w:t xml:space="preserve">Liu, M. (1997). </w:t>
      </w:r>
      <w:r>
        <w:rPr>
          <w:i/>
          <w:iCs/>
        </w:rPr>
        <w:t>Fondements et pratiques de la recherche-action</w:t>
      </w:r>
      <w:r>
        <w:t>. Harmattan.</w:t>
      </w:r>
    </w:p>
    <w:p w:rsidR="00CF622F" w:rsidRDefault="00CF622F" w:rsidP="00CF622F">
      <w:pPr>
        <w:spacing w:line="240" w:lineRule="auto"/>
      </w:pPr>
      <w:r>
        <w:t xml:space="preserve">Ruthven, K. (1994). Better judgement : Rethinking assessment in mathematics education. </w:t>
      </w:r>
      <w:r>
        <w:rPr>
          <w:i/>
          <w:iCs/>
        </w:rPr>
        <w:t>Educational Studies in Mathematics</w:t>
      </w:r>
      <w:r>
        <w:t xml:space="preserve">, </w:t>
      </w:r>
      <w:r>
        <w:rPr>
          <w:i/>
          <w:iCs/>
        </w:rPr>
        <w:t>27</w:t>
      </w:r>
      <w:r>
        <w:t>(4), 433</w:t>
      </w:r>
      <w:r>
        <w:noBreakHyphen/>
        <w:t xml:space="preserve">450. </w:t>
      </w:r>
      <w:hyperlink r:id="rId12" w:history="1">
        <w:r>
          <w:rPr>
            <w:rStyle w:val="Lienhypertexte"/>
          </w:rPr>
          <w:t>https://doi.org/10.1007/BF01273382</w:t>
        </w:r>
      </w:hyperlink>
    </w:p>
    <w:p w:rsidR="00CF622F" w:rsidRDefault="00CF622F" w:rsidP="00CF622F">
      <w:pPr>
        <w:spacing w:line="240" w:lineRule="auto"/>
      </w:pPr>
      <w:r>
        <w:t xml:space="preserve">Sayac Nathalie. (2018). </w:t>
      </w:r>
      <w:r>
        <w:rPr>
          <w:i/>
          <w:iCs/>
        </w:rPr>
        <w:t>Approche didactique de l’évaluation et de ses pratiques en mathématiques : Enjeux d’apprentissages et de formation.</w:t>
      </w:r>
      <w:r>
        <w:t xml:space="preserve"> Education. Université Paris Diderot. </w:t>
      </w:r>
      <w:hyperlink r:id="rId13" w:history="1">
        <w:r>
          <w:rPr>
            <w:rStyle w:val="Lienhypertexte"/>
          </w:rPr>
          <w:t>https://hal.archives-ouvertes.fr/tel-01723752/document</w:t>
        </w:r>
      </w:hyperlink>
    </w:p>
    <w:p w:rsidR="00CF622F" w:rsidRDefault="00CF622F" w:rsidP="00CF622F">
      <w:pPr>
        <w:spacing w:line="240" w:lineRule="auto"/>
      </w:pPr>
      <w:r>
        <w:t xml:space="preserve">William, D. (2000). </w:t>
      </w:r>
      <w:r>
        <w:rPr>
          <w:i/>
          <w:iCs/>
        </w:rPr>
        <w:t>Integrating summative and formative functions of assessment.</w:t>
      </w:r>
      <w:r>
        <w:t xml:space="preserve"> First Annual Conference of the European Association for Educational Assessment. Prague, Czech Republic.</w:t>
      </w:r>
    </w:p>
    <w:p w:rsidR="00CF622F" w:rsidRDefault="00CF622F" w:rsidP="00CF622F">
      <w:r>
        <w:t>Whitelock, D. and Brasher, A., (2006). Developing a roadmap for e-assessment: which way now? IN: Danson, M. (ed.). 10th CAA International Computer Assisted Assessment Conference : Proceedings of the Conference on 4th and 5th July 2006 at Loughborough University. Loughborough : Lougborough University, pp. 487-504.</w:t>
      </w:r>
    </w:p>
    <w:p w:rsidR="00CF622F" w:rsidRDefault="00CF622F" w:rsidP="00CF622F">
      <w:pPr>
        <w:spacing w:line="240" w:lineRule="auto"/>
      </w:pPr>
    </w:p>
    <w:p w:rsidR="006B3B30" w:rsidRDefault="006B3B30" w:rsidP="00CF622F">
      <w:pPr>
        <w:spacing w:line="240" w:lineRule="auto"/>
      </w:pPr>
    </w:p>
    <w:sectPr w:rsidR="006B3B30" w:rsidSect="00E5252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9ED" w:rsidRDefault="004929ED" w:rsidP="00B10EDD">
      <w:pPr>
        <w:spacing w:after="0" w:line="240" w:lineRule="auto"/>
      </w:pPr>
      <w:r>
        <w:separator/>
      </w:r>
    </w:p>
  </w:endnote>
  <w:endnote w:type="continuationSeparator" w:id="1">
    <w:p w:rsidR="004929ED" w:rsidRDefault="004929ED" w:rsidP="00B1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2D" w:rsidRDefault="006D532D" w:rsidP="006D532D">
    <w:pPr>
      <w:pStyle w:val="Pieddepage"/>
      <w:jc w:val="center"/>
    </w:pPr>
    <w:r>
      <w:t>Bocquet – motivation – M2 Didactique des mathématiques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9ED" w:rsidRDefault="004929ED" w:rsidP="00B10EDD">
      <w:pPr>
        <w:spacing w:after="0" w:line="240" w:lineRule="auto"/>
      </w:pPr>
      <w:r>
        <w:separator/>
      </w:r>
    </w:p>
  </w:footnote>
  <w:footnote w:type="continuationSeparator" w:id="1">
    <w:p w:rsidR="004929ED" w:rsidRDefault="004929ED" w:rsidP="00B10EDD">
      <w:pPr>
        <w:spacing w:after="0" w:line="240" w:lineRule="auto"/>
      </w:pPr>
      <w:r>
        <w:continuationSeparator/>
      </w:r>
    </w:p>
  </w:footnote>
  <w:footnote w:id="2">
    <w:p w:rsidR="00135920" w:rsidRDefault="0013592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anchor=":~:text=Une%20prax%C3%A9ologie%20ne%20d%C3%A9signe%20donc,laquelle%20cette%20prax%C3%A9ologie%20peut%20vivre." w:history="1">
        <w:r w:rsidRPr="004063F0">
          <w:rPr>
            <w:rStyle w:val="Lienhypertexte"/>
          </w:rPr>
          <w:t>https://ardm.eu/qui-sommes-nous-who-are-we-quienes-somos/yves-chevallard-la-theorie-anthropologique-dudidactique/#:~:text=Une%20prax%C3%A9ologie%20ne%20d%C3%A9signe%20donc,laquelle%20cette%20prax%C3%A9ologie%20peut%20vivre.</w:t>
        </w:r>
      </w:hyperlink>
      <w:r>
        <w:t xml:space="preserve"> Page consultée le 10/06/2020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AEB"/>
    <w:multiLevelType w:val="multilevel"/>
    <w:tmpl w:val="4AB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350BB"/>
    <w:multiLevelType w:val="multilevel"/>
    <w:tmpl w:val="D89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AA7686"/>
    <w:multiLevelType w:val="hybridMultilevel"/>
    <w:tmpl w:val="6358B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E54DC"/>
    <w:multiLevelType w:val="hybridMultilevel"/>
    <w:tmpl w:val="1682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6584C"/>
    <w:multiLevelType w:val="multilevel"/>
    <w:tmpl w:val="5E3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322145"/>
    <w:multiLevelType w:val="multilevel"/>
    <w:tmpl w:val="FDB0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AC32B6"/>
    <w:multiLevelType w:val="hybridMultilevel"/>
    <w:tmpl w:val="4B4AB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E15"/>
    <w:multiLevelType w:val="hybridMultilevel"/>
    <w:tmpl w:val="C03E8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B1F4F"/>
    <w:multiLevelType w:val="multilevel"/>
    <w:tmpl w:val="A3B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1532ED"/>
    <w:multiLevelType w:val="hybridMultilevel"/>
    <w:tmpl w:val="7A7C560C"/>
    <w:lvl w:ilvl="0" w:tplc="478C3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F2BCC"/>
    <w:multiLevelType w:val="hybridMultilevel"/>
    <w:tmpl w:val="B2BC6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24509"/>
    <w:multiLevelType w:val="hybridMultilevel"/>
    <w:tmpl w:val="4BF0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63DC0"/>
    <w:multiLevelType w:val="multilevel"/>
    <w:tmpl w:val="4C3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5860EA"/>
    <w:multiLevelType w:val="multilevel"/>
    <w:tmpl w:val="760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95D197B"/>
    <w:multiLevelType w:val="multilevel"/>
    <w:tmpl w:val="752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A61DBA"/>
    <w:multiLevelType w:val="hybridMultilevel"/>
    <w:tmpl w:val="547435E4"/>
    <w:lvl w:ilvl="0" w:tplc="9CCCCAFA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60A88"/>
    <w:multiLevelType w:val="multilevel"/>
    <w:tmpl w:val="4AF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075B41"/>
    <w:multiLevelType w:val="hybridMultilevel"/>
    <w:tmpl w:val="042EA632"/>
    <w:lvl w:ilvl="0" w:tplc="478C3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BB48D9"/>
    <w:multiLevelType w:val="multilevel"/>
    <w:tmpl w:val="F66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EE3399"/>
    <w:multiLevelType w:val="hybridMultilevel"/>
    <w:tmpl w:val="5AB08176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0">
    <w:nsid w:val="3C0C4D9D"/>
    <w:multiLevelType w:val="hybridMultilevel"/>
    <w:tmpl w:val="BBC624A8"/>
    <w:lvl w:ilvl="0" w:tplc="C99C241C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455452B"/>
    <w:multiLevelType w:val="hybridMultilevel"/>
    <w:tmpl w:val="38D6C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206FF"/>
    <w:multiLevelType w:val="multilevel"/>
    <w:tmpl w:val="4000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95627E2"/>
    <w:multiLevelType w:val="hybridMultilevel"/>
    <w:tmpl w:val="92901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774F4E"/>
    <w:multiLevelType w:val="hybridMultilevel"/>
    <w:tmpl w:val="90162A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B2FF3"/>
    <w:multiLevelType w:val="multilevel"/>
    <w:tmpl w:val="8CE0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D0A33A3"/>
    <w:multiLevelType w:val="hybridMultilevel"/>
    <w:tmpl w:val="7A24595E"/>
    <w:lvl w:ilvl="0" w:tplc="6338B49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C64698"/>
    <w:multiLevelType w:val="hybridMultilevel"/>
    <w:tmpl w:val="F0BC13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377C6"/>
    <w:multiLevelType w:val="multilevel"/>
    <w:tmpl w:val="571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63875AC"/>
    <w:multiLevelType w:val="multilevel"/>
    <w:tmpl w:val="1C8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90D137D"/>
    <w:multiLevelType w:val="multilevel"/>
    <w:tmpl w:val="A86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AED7334"/>
    <w:multiLevelType w:val="hybridMultilevel"/>
    <w:tmpl w:val="C702452E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>
    <w:nsid w:val="5C5C0D60"/>
    <w:multiLevelType w:val="hybridMultilevel"/>
    <w:tmpl w:val="D3DE8FDA"/>
    <w:lvl w:ilvl="0" w:tplc="59BCF76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C66008"/>
    <w:multiLevelType w:val="multilevel"/>
    <w:tmpl w:val="A5F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D75B7F"/>
    <w:multiLevelType w:val="multilevel"/>
    <w:tmpl w:val="E64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0D2F5E"/>
    <w:multiLevelType w:val="multilevel"/>
    <w:tmpl w:val="E74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3F690D"/>
    <w:multiLevelType w:val="hybridMultilevel"/>
    <w:tmpl w:val="CE5A0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786DCD"/>
    <w:multiLevelType w:val="hybridMultilevel"/>
    <w:tmpl w:val="44747538"/>
    <w:lvl w:ilvl="0" w:tplc="6338B498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1D54F1E"/>
    <w:multiLevelType w:val="hybridMultilevel"/>
    <w:tmpl w:val="0E0C5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A55D27"/>
    <w:multiLevelType w:val="multilevel"/>
    <w:tmpl w:val="EAD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5"/>
  </w:num>
  <w:num w:numId="3">
    <w:abstractNumId w:val="5"/>
  </w:num>
  <w:num w:numId="4">
    <w:abstractNumId w:val="14"/>
  </w:num>
  <w:num w:numId="5">
    <w:abstractNumId w:val="18"/>
  </w:num>
  <w:num w:numId="6">
    <w:abstractNumId w:val="22"/>
  </w:num>
  <w:num w:numId="7">
    <w:abstractNumId w:val="4"/>
  </w:num>
  <w:num w:numId="8">
    <w:abstractNumId w:val="1"/>
  </w:num>
  <w:num w:numId="9">
    <w:abstractNumId w:val="30"/>
  </w:num>
  <w:num w:numId="10">
    <w:abstractNumId w:val="35"/>
  </w:num>
  <w:num w:numId="11">
    <w:abstractNumId w:val="29"/>
  </w:num>
  <w:num w:numId="12">
    <w:abstractNumId w:val="34"/>
  </w:num>
  <w:num w:numId="13">
    <w:abstractNumId w:val="8"/>
  </w:num>
  <w:num w:numId="14">
    <w:abstractNumId w:val="16"/>
  </w:num>
  <w:num w:numId="15">
    <w:abstractNumId w:val="28"/>
  </w:num>
  <w:num w:numId="16">
    <w:abstractNumId w:val="38"/>
  </w:num>
  <w:num w:numId="17">
    <w:abstractNumId w:val="12"/>
  </w:num>
  <w:num w:numId="18">
    <w:abstractNumId w:val="39"/>
  </w:num>
  <w:num w:numId="19">
    <w:abstractNumId w:val="0"/>
  </w:num>
  <w:num w:numId="20">
    <w:abstractNumId w:val="36"/>
  </w:num>
  <w:num w:numId="21">
    <w:abstractNumId w:val="33"/>
  </w:num>
  <w:num w:numId="22">
    <w:abstractNumId w:val="2"/>
  </w:num>
  <w:num w:numId="23">
    <w:abstractNumId w:val="23"/>
  </w:num>
  <w:num w:numId="24">
    <w:abstractNumId w:val="27"/>
  </w:num>
  <w:num w:numId="25">
    <w:abstractNumId w:val="19"/>
  </w:num>
  <w:num w:numId="26">
    <w:abstractNumId w:val="31"/>
  </w:num>
  <w:num w:numId="27">
    <w:abstractNumId w:val="11"/>
  </w:num>
  <w:num w:numId="28">
    <w:abstractNumId w:val="7"/>
  </w:num>
  <w:num w:numId="29">
    <w:abstractNumId w:val="6"/>
  </w:num>
  <w:num w:numId="30">
    <w:abstractNumId w:val="21"/>
  </w:num>
  <w:num w:numId="31">
    <w:abstractNumId w:val="3"/>
  </w:num>
  <w:num w:numId="32">
    <w:abstractNumId w:val="10"/>
  </w:num>
  <w:num w:numId="33">
    <w:abstractNumId w:val="32"/>
  </w:num>
  <w:num w:numId="34">
    <w:abstractNumId w:val="9"/>
  </w:num>
  <w:num w:numId="35">
    <w:abstractNumId w:val="24"/>
  </w:num>
  <w:num w:numId="36">
    <w:abstractNumId w:val="17"/>
  </w:num>
  <w:num w:numId="37">
    <w:abstractNumId w:val="15"/>
  </w:num>
  <w:num w:numId="38">
    <w:abstractNumId w:val="26"/>
  </w:num>
  <w:num w:numId="39">
    <w:abstractNumId w:val="37"/>
  </w:num>
  <w:num w:numId="4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E2E"/>
    <w:rsid w:val="00012D06"/>
    <w:rsid w:val="0002713D"/>
    <w:rsid w:val="00045EB8"/>
    <w:rsid w:val="00063968"/>
    <w:rsid w:val="00064C38"/>
    <w:rsid w:val="00070B69"/>
    <w:rsid w:val="00073E16"/>
    <w:rsid w:val="0007616B"/>
    <w:rsid w:val="000B42DF"/>
    <w:rsid w:val="000D2F26"/>
    <w:rsid w:val="000E4B60"/>
    <w:rsid w:val="001116EB"/>
    <w:rsid w:val="00126A28"/>
    <w:rsid w:val="00135920"/>
    <w:rsid w:val="00154494"/>
    <w:rsid w:val="00167E5A"/>
    <w:rsid w:val="001952BF"/>
    <w:rsid w:val="001B4E2A"/>
    <w:rsid w:val="001C4B3F"/>
    <w:rsid w:val="001E78DD"/>
    <w:rsid w:val="001F611C"/>
    <w:rsid w:val="0021558C"/>
    <w:rsid w:val="00235CD5"/>
    <w:rsid w:val="00246C21"/>
    <w:rsid w:val="0024721E"/>
    <w:rsid w:val="00256D62"/>
    <w:rsid w:val="00275855"/>
    <w:rsid w:val="00296788"/>
    <w:rsid w:val="002A5BA8"/>
    <w:rsid w:val="002B096D"/>
    <w:rsid w:val="002C066A"/>
    <w:rsid w:val="002D46AD"/>
    <w:rsid w:val="002E2BD0"/>
    <w:rsid w:val="002E763C"/>
    <w:rsid w:val="00323839"/>
    <w:rsid w:val="00325E42"/>
    <w:rsid w:val="0034231A"/>
    <w:rsid w:val="00361122"/>
    <w:rsid w:val="003843C3"/>
    <w:rsid w:val="003B7348"/>
    <w:rsid w:val="003C4E32"/>
    <w:rsid w:val="003D38F3"/>
    <w:rsid w:val="003D56D7"/>
    <w:rsid w:val="003F4C85"/>
    <w:rsid w:val="003F6842"/>
    <w:rsid w:val="00400E40"/>
    <w:rsid w:val="00401D2D"/>
    <w:rsid w:val="00403958"/>
    <w:rsid w:val="00414690"/>
    <w:rsid w:val="004545E1"/>
    <w:rsid w:val="00466C07"/>
    <w:rsid w:val="00475B7C"/>
    <w:rsid w:val="00480D74"/>
    <w:rsid w:val="00483EE9"/>
    <w:rsid w:val="004929ED"/>
    <w:rsid w:val="004A00D6"/>
    <w:rsid w:val="004A4431"/>
    <w:rsid w:val="004B27A4"/>
    <w:rsid w:val="004C0728"/>
    <w:rsid w:val="004C3854"/>
    <w:rsid w:val="004C5366"/>
    <w:rsid w:val="004F3A98"/>
    <w:rsid w:val="0051628B"/>
    <w:rsid w:val="00517DF5"/>
    <w:rsid w:val="00545FC8"/>
    <w:rsid w:val="00554328"/>
    <w:rsid w:val="00562616"/>
    <w:rsid w:val="00571160"/>
    <w:rsid w:val="00571530"/>
    <w:rsid w:val="005A4C3C"/>
    <w:rsid w:val="005C31B4"/>
    <w:rsid w:val="005D30D7"/>
    <w:rsid w:val="005D3980"/>
    <w:rsid w:val="005E3A59"/>
    <w:rsid w:val="005F0175"/>
    <w:rsid w:val="005F5DC4"/>
    <w:rsid w:val="00611929"/>
    <w:rsid w:val="00616FC7"/>
    <w:rsid w:val="00624E2E"/>
    <w:rsid w:val="00637E26"/>
    <w:rsid w:val="00642188"/>
    <w:rsid w:val="00672AF7"/>
    <w:rsid w:val="006A290B"/>
    <w:rsid w:val="006B3B30"/>
    <w:rsid w:val="006C06CF"/>
    <w:rsid w:val="006D532D"/>
    <w:rsid w:val="00700A6E"/>
    <w:rsid w:val="00701A1E"/>
    <w:rsid w:val="007177DF"/>
    <w:rsid w:val="00726C2C"/>
    <w:rsid w:val="00733D74"/>
    <w:rsid w:val="007467C8"/>
    <w:rsid w:val="00754DCA"/>
    <w:rsid w:val="007A62AF"/>
    <w:rsid w:val="007A70CA"/>
    <w:rsid w:val="007C7A30"/>
    <w:rsid w:val="007D3E95"/>
    <w:rsid w:val="007F47C2"/>
    <w:rsid w:val="00815F67"/>
    <w:rsid w:val="0083061C"/>
    <w:rsid w:val="00851E9A"/>
    <w:rsid w:val="00873353"/>
    <w:rsid w:val="00894997"/>
    <w:rsid w:val="008B0CDF"/>
    <w:rsid w:val="008B7D54"/>
    <w:rsid w:val="008C0E21"/>
    <w:rsid w:val="008C2CB4"/>
    <w:rsid w:val="008F474C"/>
    <w:rsid w:val="00905312"/>
    <w:rsid w:val="00906A8F"/>
    <w:rsid w:val="00917ED9"/>
    <w:rsid w:val="00926B0E"/>
    <w:rsid w:val="009303D6"/>
    <w:rsid w:val="00966091"/>
    <w:rsid w:val="00982037"/>
    <w:rsid w:val="009C182C"/>
    <w:rsid w:val="009E1B60"/>
    <w:rsid w:val="009E2458"/>
    <w:rsid w:val="009F121F"/>
    <w:rsid w:val="009F18C7"/>
    <w:rsid w:val="009F51B5"/>
    <w:rsid w:val="00A046A9"/>
    <w:rsid w:val="00A42026"/>
    <w:rsid w:val="00A43533"/>
    <w:rsid w:val="00A60B54"/>
    <w:rsid w:val="00A62C12"/>
    <w:rsid w:val="00A67FC5"/>
    <w:rsid w:val="00AA1E0B"/>
    <w:rsid w:val="00AA1F27"/>
    <w:rsid w:val="00AA4FE6"/>
    <w:rsid w:val="00AE13AC"/>
    <w:rsid w:val="00B0174E"/>
    <w:rsid w:val="00B044AB"/>
    <w:rsid w:val="00B06C74"/>
    <w:rsid w:val="00B10EDD"/>
    <w:rsid w:val="00B32CEB"/>
    <w:rsid w:val="00BA1755"/>
    <w:rsid w:val="00BD589A"/>
    <w:rsid w:val="00BD59F5"/>
    <w:rsid w:val="00BE6A45"/>
    <w:rsid w:val="00C040AB"/>
    <w:rsid w:val="00C06FE1"/>
    <w:rsid w:val="00C07BE7"/>
    <w:rsid w:val="00C105B7"/>
    <w:rsid w:val="00C75F38"/>
    <w:rsid w:val="00C92D6C"/>
    <w:rsid w:val="00CC19DD"/>
    <w:rsid w:val="00CC4FD3"/>
    <w:rsid w:val="00CE3266"/>
    <w:rsid w:val="00CF523B"/>
    <w:rsid w:val="00CF622F"/>
    <w:rsid w:val="00D13C44"/>
    <w:rsid w:val="00D4240D"/>
    <w:rsid w:val="00D460DB"/>
    <w:rsid w:val="00D9070E"/>
    <w:rsid w:val="00DD6109"/>
    <w:rsid w:val="00DE3A49"/>
    <w:rsid w:val="00E31807"/>
    <w:rsid w:val="00E4427F"/>
    <w:rsid w:val="00E52526"/>
    <w:rsid w:val="00E755C1"/>
    <w:rsid w:val="00EB15A3"/>
    <w:rsid w:val="00EB5844"/>
    <w:rsid w:val="00EC2B72"/>
    <w:rsid w:val="00EF290E"/>
    <w:rsid w:val="00F36D9A"/>
    <w:rsid w:val="00F805FD"/>
    <w:rsid w:val="00FA0728"/>
    <w:rsid w:val="00FC4A7E"/>
    <w:rsid w:val="00FD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C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72AF7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7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42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0D2F26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0D2F26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F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F26"/>
    <w:rPr>
      <w:b/>
      <w:bCs/>
      <w:i/>
      <w:iCs/>
      <w:color w:val="4F81BD" w:themeColor="accent1"/>
    </w:rPr>
  </w:style>
  <w:style w:type="paragraph" w:customStyle="1" w:styleId="Question">
    <w:name w:val="Question"/>
    <w:basedOn w:val="Citationintense"/>
    <w:qFormat/>
    <w:rsid w:val="000D2F26"/>
    <w:pPr>
      <w:ind w:left="142"/>
    </w:pPr>
    <w:rPr>
      <w:i w:val="0"/>
      <w:color w:val="000000" w:themeColor="text1"/>
      <w:szCs w:val="28"/>
    </w:rPr>
  </w:style>
  <w:style w:type="paragraph" w:styleId="NormalWeb">
    <w:name w:val="Normal (Web)"/>
    <w:basedOn w:val="Normal"/>
    <w:uiPriority w:val="99"/>
    <w:semiHidden/>
    <w:unhideWhenUsed/>
    <w:rsid w:val="0015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7585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4218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642188"/>
  </w:style>
  <w:style w:type="character" w:styleId="Lienhypertexte">
    <w:name w:val="Hyperlink"/>
    <w:basedOn w:val="Policepardfaut"/>
    <w:uiPriority w:val="99"/>
    <w:unhideWhenUsed/>
    <w:rsid w:val="00D460D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0E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3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1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10EDD"/>
  </w:style>
  <w:style w:type="paragraph" w:styleId="Pieddepage">
    <w:name w:val="footer"/>
    <w:basedOn w:val="Normal"/>
    <w:link w:val="PieddepageCar"/>
    <w:uiPriority w:val="99"/>
    <w:semiHidden/>
    <w:unhideWhenUsed/>
    <w:rsid w:val="00B1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0EDD"/>
  </w:style>
  <w:style w:type="character" w:customStyle="1" w:styleId="Titre1Car">
    <w:name w:val="Titre 1 Car"/>
    <w:basedOn w:val="Policepardfaut"/>
    <w:link w:val="Titre1"/>
    <w:uiPriority w:val="9"/>
    <w:rsid w:val="00672AF7"/>
    <w:rPr>
      <w:rFonts w:eastAsiaTheme="majorEastAsia" w:cstheme="majorBidi"/>
      <w:bCs/>
      <w:color w:val="365F91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17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itation">
    <w:name w:val="citation"/>
    <w:basedOn w:val="Normal"/>
    <w:qFormat/>
    <w:rsid w:val="00EB15A3"/>
    <w:pPr>
      <w:ind w:left="1701" w:right="170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C06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C06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C06CF"/>
    <w:rPr>
      <w:vertAlign w:val="superscript"/>
    </w:rPr>
  </w:style>
  <w:style w:type="paragraph" w:customStyle="1" w:styleId="question0">
    <w:name w:val="question"/>
    <w:basedOn w:val="Normal"/>
    <w:qFormat/>
    <w:rsid w:val="006C06CF"/>
    <w:pPr>
      <w:ind w:left="567" w:right="567"/>
    </w:pPr>
    <w:rPr>
      <w:color w:val="5F497A" w:themeColor="accent4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ac.qc.ca/didactique.php" TargetMode="External"/><Relationship Id="rId13" Type="http://schemas.openxmlformats.org/officeDocument/2006/relationships/hyperlink" Target="https://hal.archives-ouvertes.fr/tel-01723752/docu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BF0127338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l.archives-ouvertes.fr/hal-0128232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4135/9781452218649.n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tla.org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dm.eu/qui-sommes-nous-who-are-we-quienes-somos/yves-chevallard-la-theorie-anthropologique-dudidactiqu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90B91-B3E9-4135-8628-FAB17781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1588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2020-06-17T07:11:00Z</dcterms:created>
  <dcterms:modified xsi:type="dcterms:W3CDTF">2020-06-17T10:07:00Z</dcterms:modified>
</cp:coreProperties>
</file>