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0E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DUREN </w:t>
      </w:r>
      <w:r w:rsidR="00D9070E">
        <w:rPr>
          <w:rStyle w:val="lev"/>
          <w:sz w:val="40"/>
          <w:szCs w:val="40"/>
        </w:rPr>
        <w:t xml:space="preserve"> </w:t>
      </w:r>
    </w:p>
    <w:p w:rsidR="00D9070E" w:rsidRDefault="00D9070E" w:rsidP="000D2F26">
      <w:pPr>
        <w:pStyle w:val="Question"/>
        <w:rPr>
          <w:rStyle w:val="lev"/>
          <w:sz w:val="40"/>
          <w:szCs w:val="40"/>
        </w:rPr>
      </w:pPr>
      <w:r>
        <w:rPr>
          <w:rStyle w:val="lev"/>
          <w:sz w:val="40"/>
          <w:szCs w:val="40"/>
        </w:rPr>
        <w:t>Atelier </w:t>
      </w:r>
      <w:r w:rsidR="0068348C">
        <w:rPr>
          <w:rStyle w:val="lev"/>
          <w:sz w:val="40"/>
          <w:szCs w:val="40"/>
        </w:rPr>
        <w:t>4</w:t>
      </w:r>
      <w:r w:rsidR="00B06C74">
        <w:rPr>
          <w:rStyle w:val="lev"/>
          <w:sz w:val="40"/>
          <w:szCs w:val="40"/>
        </w:rPr>
        <w:t xml:space="preserve"> </w:t>
      </w:r>
      <w:r>
        <w:rPr>
          <w:rStyle w:val="lev"/>
          <w:sz w:val="40"/>
          <w:szCs w:val="40"/>
        </w:rPr>
        <w:t xml:space="preserve">: </w:t>
      </w:r>
      <w:r w:rsidR="00F5338F">
        <w:rPr>
          <w:rStyle w:val="lev"/>
          <w:sz w:val="40"/>
          <w:szCs w:val="40"/>
        </w:rPr>
        <w:t>Projet de thèse</w:t>
      </w:r>
      <w:r w:rsidR="00B06C74">
        <w:rPr>
          <w:rStyle w:val="lev"/>
          <w:sz w:val="40"/>
          <w:szCs w:val="40"/>
        </w:rPr>
        <w:t xml:space="preserve"> </w:t>
      </w:r>
    </w:p>
    <w:p w:rsidR="000D2F26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Activité </w:t>
      </w:r>
      <w:r w:rsidR="00350294">
        <w:rPr>
          <w:rStyle w:val="lev"/>
          <w:sz w:val="40"/>
          <w:szCs w:val="40"/>
        </w:rPr>
        <w:t>2</w:t>
      </w:r>
    </w:p>
    <w:p w:rsidR="006E1D33" w:rsidRPr="000D2F26" w:rsidRDefault="006E1D33" w:rsidP="000D2F26">
      <w:pPr>
        <w:pStyle w:val="Question"/>
        <w:rPr>
          <w:rStyle w:val="lev"/>
          <w:sz w:val="40"/>
          <w:szCs w:val="40"/>
        </w:rPr>
      </w:pPr>
    </w:p>
    <w:p w:rsidR="00350294" w:rsidRDefault="00350294" w:rsidP="00350294">
      <w:pPr>
        <w:pStyle w:val="Titre1"/>
        <w:numPr>
          <w:ilvl w:val="0"/>
          <w:numId w:val="0"/>
        </w:numPr>
        <w:jc w:val="center"/>
      </w:pPr>
      <w:r>
        <w:t>Revue de littérature et Problématique de la recherche</w:t>
      </w:r>
    </w:p>
    <w:p w:rsidR="00350294" w:rsidRPr="00350294" w:rsidRDefault="00350294" w:rsidP="00350294"/>
    <w:p w:rsidR="00350294" w:rsidRDefault="00350294" w:rsidP="0035029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Pour la deuxième activité : revue de littérature et problématique de recherche, vous présenterez sur une page Word 2000 caractères espaces non compris: </w:t>
      </w:r>
    </w:p>
    <w:p w:rsidR="00350294" w:rsidRDefault="00350294" w:rsidP="0035029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1- les concepts clés et les auteurs préceptes de votre revue de littérature ainsi que les théories les plus récentes en lien avec votre projet. </w:t>
      </w:r>
    </w:p>
    <w:p w:rsidR="00350294" w:rsidRDefault="00350294" w:rsidP="0035029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lang w:val="fr-CA"/>
        </w:rPr>
        <w:t>2- la problématique générale et la problématique particulière que vous voulez examiner. Merci de bien faire ressortir l’état de la situation du problème et l</w:t>
      </w:r>
      <w:r>
        <w:rPr>
          <w:rFonts w:ascii="Segoe UI" w:hAnsi="Segoe UI" w:cs="Segoe UI"/>
          <w:color w:val="373A3C"/>
          <w:sz w:val="20"/>
          <w:szCs w:val="20"/>
        </w:rPr>
        <w:t>’aspect novateur de la problématique à l’étude. </w:t>
      </w:r>
    </w:p>
    <w:p w:rsidR="00350294" w:rsidRDefault="00350294" w:rsidP="0035029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lang w:val="fr-CA"/>
        </w:rPr>
        <w:t>Pour cette section il est important de vous rapporter à l'ensemble des commentaires reçus sur les travaux présentés lors des ateliers 1 et 2.</w:t>
      </w:r>
    </w:p>
    <w:p w:rsidR="00350294" w:rsidRDefault="00350294" w:rsidP="0035029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lang w:val="fr-CA"/>
        </w:rPr>
        <w:t>* Référence: </w:t>
      </w:r>
      <w:r>
        <w:rPr>
          <w:rFonts w:ascii="Segoe UI" w:hAnsi="Segoe UI" w:cs="Segoe UI"/>
          <w:color w:val="373A3C"/>
          <w:sz w:val="20"/>
          <w:szCs w:val="20"/>
        </w:rPr>
        <w:t>https://infotrack.unige.ch/</w:t>
      </w:r>
    </w:p>
    <w:p w:rsidR="004C1BEB" w:rsidRPr="004C1BEB" w:rsidRDefault="004C1BEB" w:rsidP="0068348C">
      <w:pPr>
        <w:pStyle w:val="Question"/>
        <w:rPr>
          <w:b w:val="0"/>
          <w:bCs w:val="0"/>
          <w:sz w:val="24"/>
          <w:szCs w:val="24"/>
        </w:rPr>
      </w:pPr>
    </w:p>
    <w:p w:rsidR="0068348C" w:rsidRDefault="0068348C">
      <w:pPr>
        <w:rPr>
          <w:sz w:val="28"/>
          <w:szCs w:val="28"/>
        </w:rPr>
      </w:pPr>
    </w:p>
    <w:p w:rsidR="00FE71C8" w:rsidRDefault="0068348C" w:rsidP="00FE71C8">
      <w:r>
        <w:rPr>
          <w:sz w:val="28"/>
          <w:szCs w:val="28"/>
        </w:rPr>
        <w:br w:type="page"/>
      </w:r>
      <w:r w:rsidR="00FE71C8">
        <w:lastRenderedPageBreak/>
        <w:t>Aujourd’hui les outils numériques utiles à l’évaluation automatisée  libèrent les enseignants de la partie la plus répétitive, la moins valorisée et la plus contraignante de leur activité.</w:t>
      </w:r>
      <w:r w:rsidR="00FE71C8">
        <w:br/>
        <w:t>Whitelock &amp; Brasher (2019) définissent l’évaluation numérique au sens large de la façon suivante :</w:t>
      </w:r>
    </w:p>
    <w:p w:rsidR="00FE71C8" w:rsidRDefault="00FE71C8" w:rsidP="00FE71C8">
      <w:pPr>
        <w:pStyle w:val="citation"/>
        <w:ind w:left="567" w:right="567"/>
      </w:pPr>
      <w:r>
        <w:t>«  e-Assessment is defined in its broadest sense, where information technology is used for any assessment related activity.(p. 3) ».</w:t>
      </w:r>
    </w:p>
    <w:p w:rsidR="00FE71C8" w:rsidRDefault="00FE71C8" w:rsidP="00FE71C8">
      <w:r>
        <w:br/>
        <w:t>Malgré ses avantages, l’utilisation de l’évaluation numérique reste confidentielle au lycée.</w:t>
      </w:r>
      <w:r>
        <w:br/>
        <w:t>Une question se pose donc :</w:t>
      </w:r>
    </w:p>
    <w:p w:rsidR="00FE71C8" w:rsidRDefault="00FE71C8" w:rsidP="00FE71C8">
      <w:pPr>
        <w:pStyle w:val="question0"/>
        <w:ind w:left="993" w:right="992"/>
      </w:pPr>
      <w:r>
        <w:t>Comment proposer un processus d’</w:t>
      </w:r>
      <w:r w:rsidRPr="00444408">
        <w:t xml:space="preserve">évaluation </w:t>
      </w:r>
      <w:r>
        <w:t xml:space="preserve">numérique, </w:t>
      </w:r>
      <w:r w:rsidRPr="00444408">
        <w:t>réellement intégrée</w:t>
      </w:r>
      <w:r>
        <w:t xml:space="preserve"> </w:t>
      </w:r>
      <w:r w:rsidRPr="00444408">
        <w:t>au</w:t>
      </w:r>
      <w:r>
        <w:t xml:space="preserve">x </w:t>
      </w:r>
      <w:r w:rsidRPr="00444408">
        <w:t xml:space="preserve"> processus d’enseignement et d’apprentissage des élèves</w:t>
      </w:r>
      <w:r>
        <w:t xml:space="preserve"> </w:t>
      </w:r>
      <w:r w:rsidRPr="00444408">
        <w:t>?</w:t>
      </w:r>
    </w:p>
    <w:p w:rsidR="000A0D55" w:rsidRDefault="00FE71C8" w:rsidP="00535CEB">
      <w:pPr>
        <w:rPr>
          <w:lang w:eastAsia="fr-FR"/>
        </w:rPr>
      </w:pPr>
      <w:r>
        <w:t xml:space="preserve">Allal  (Huberman (dir), 1993), propose le concept unificateur de régulation de l’apprentissage </w:t>
      </w:r>
      <w:r>
        <w:rPr>
          <w:rStyle w:val="Appeldenotedefin"/>
        </w:rPr>
        <w:endnoteReference w:id="2"/>
      </w:r>
      <w:r>
        <w:t xml:space="preserve">  . </w:t>
      </w:r>
      <w:r w:rsidR="00535CEB">
        <w:br/>
      </w:r>
      <w:r w:rsidR="000A0D55" w:rsidRPr="000A0D55">
        <w:rPr>
          <w:lang w:eastAsia="fr-FR"/>
        </w:rPr>
        <w:t xml:space="preserve">Selon Allal &amp; Mottier Lopez (2007) la régulation désigne « les mécanismes qui assurent le guidage, le contrôle, l’ajustement des activités cognitives, affectives et sociales, favorisant ainsi  la  transformation  des  compétences  de  l’apprenant »  (p.  9).  </w:t>
      </w:r>
      <w:r w:rsidR="000A0D55">
        <w:rPr>
          <w:lang w:eastAsia="fr-FR"/>
        </w:rPr>
        <w:br/>
      </w:r>
      <w:r w:rsidR="000A0D55" w:rsidRPr="000A0D55">
        <w:rPr>
          <w:lang w:eastAsia="fr-FR"/>
        </w:rPr>
        <w:t>Elles  définissent  plus précisément :  la régulation de l’apprentissage en termes d’une succession d’opérations visant à :</w:t>
      </w:r>
    </w:p>
    <w:p w:rsidR="000A0D55" w:rsidRDefault="000A0D55" w:rsidP="000A0D55">
      <w:pPr>
        <w:pStyle w:val="Paragraphedeliste"/>
        <w:numPr>
          <w:ilvl w:val="0"/>
          <w:numId w:val="3"/>
        </w:numPr>
        <w:rPr>
          <w:lang w:eastAsia="fr-FR"/>
        </w:rPr>
      </w:pPr>
      <w:r w:rsidRPr="000A0D55">
        <w:rPr>
          <w:lang w:eastAsia="fr-FR"/>
        </w:rPr>
        <w:t xml:space="preserve">fixer un but et orienter l’action vers celui-ci ; -contrôler la progression de l’action vers le but ; </w:t>
      </w:r>
    </w:p>
    <w:p w:rsidR="000A0D55" w:rsidRDefault="000A0D55" w:rsidP="000A0D55">
      <w:pPr>
        <w:pStyle w:val="Paragraphedeliste"/>
        <w:numPr>
          <w:ilvl w:val="0"/>
          <w:numId w:val="3"/>
        </w:numPr>
        <w:rPr>
          <w:lang w:eastAsia="fr-FR"/>
        </w:rPr>
      </w:pPr>
      <w:r w:rsidRPr="000A0D55">
        <w:rPr>
          <w:lang w:eastAsia="fr-FR"/>
        </w:rPr>
        <w:t xml:space="preserve">assurer un retour sur l’action (un feedback, une rétroaction) ; </w:t>
      </w:r>
    </w:p>
    <w:p w:rsidR="000A0D55" w:rsidRDefault="000A0D55" w:rsidP="000A0D55">
      <w:pPr>
        <w:pStyle w:val="Paragraphedeliste"/>
        <w:numPr>
          <w:ilvl w:val="0"/>
          <w:numId w:val="3"/>
        </w:numPr>
        <w:rPr>
          <w:lang w:eastAsia="fr-FR"/>
        </w:rPr>
      </w:pPr>
      <w:r w:rsidRPr="000A0D55">
        <w:rPr>
          <w:lang w:eastAsia="fr-FR"/>
        </w:rPr>
        <w:t xml:space="preserve">confirmer ou  réorienter la  trajectoire  de  l’action, et/ou  redéfinir le but (Allal &amp; Mottier Lopez, 2007, p. 8-9). </w:t>
      </w:r>
    </w:p>
    <w:p w:rsidR="00FE71C8" w:rsidRDefault="00535CEB" w:rsidP="00535CEB">
      <w:pPr>
        <w:rPr>
          <w:lang w:eastAsia="fr-FR"/>
        </w:rPr>
      </w:pPr>
      <w:r w:rsidRPr="00535CEB">
        <w:rPr>
          <w:lang w:eastAsia="fr-FR"/>
        </w:rPr>
        <w:t>Le concept de régulation, en tant qu’ajustement en cours  de  processus,  se  substitue  à  celui  de  remédiation  et  s’associe  étroitement  à l’évaluation formative.</w:t>
      </w:r>
      <w:r>
        <w:rPr>
          <w:lang w:eastAsia="fr-FR"/>
        </w:rPr>
        <w:br/>
        <w:t xml:space="preserve">Ce </w:t>
      </w:r>
      <w:r>
        <w:t>c</w:t>
      </w:r>
      <w:r w:rsidR="00FE71C8">
        <w:t>oncept repris par Perrenoud (</w:t>
      </w:r>
      <w:r w:rsidR="00154738">
        <w:t>1998</w:t>
      </w:r>
      <w:r w:rsidR="00FE71C8">
        <w:t>), pour étayer sa conception didactique de l’évaluation.</w:t>
      </w:r>
      <w:r w:rsidR="00FE71C8">
        <w:br/>
        <w:t>La didactique est ici définie comme</w:t>
      </w:r>
      <w:r w:rsidR="00FE71C8" w:rsidRPr="008C6466">
        <w:t xml:space="preserve"> l'étude systématique des méthodes et des pratiques de l'enseignement en général, ou de l'enseignement d'une discipline ou d'une matière particulière</w:t>
      </w:r>
      <w:r w:rsidR="00FE71C8">
        <w:t xml:space="preserve"> (APPAC, </w:t>
      </w:r>
      <w:hyperlink r:id="rId8" w:history="1">
        <w:r w:rsidR="00FE71C8">
          <w:rPr>
            <w:rStyle w:val="Lienhypertexte"/>
          </w:rPr>
          <w:t>http://www.appac.qc.ca/didactique.php</w:t>
        </w:r>
      </w:hyperlink>
      <w:r w:rsidR="00FE71C8">
        <w:t>)</w:t>
      </w:r>
      <w:r w:rsidR="00FE71C8" w:rsidRPr="008C6466">
        <w:t>.</w:t>
      </w:r>
    </w:p>
    <w:p w:rsidR="00FE71C8" w:rsidRDefault="00FE71C8" w:rsidP="00FE71C8">
      <w:r>
        <w:t>Le cadre théorique pour tenter de répondre à cette question est celui de la théorie anthropologique du didactique (TAD), émise par Yves Chevallard</w:t>
      </w:r>
      <w:r w:rsidR="00154738">
        <w:t xml:space="preserve"> (1992)</w:t>
      </w:r>
      <w:r>
        <w:t>.</w:t>
      </w:r>
      <w:r>
        <w:br/>
        <w:t>Une notion centrale de la  TAD va cristalliser notre recherche, celle de praxéologie, définie par la revue de didactique des mathématiques</w:t>
      </w:r>
      <w:r>
        <w:rPr>
          <w:rStyle w:val="Appeldenotedefin"/>
        </w:rPr>
        <w:endnoteReference w:id="3"/>
      </w:r>
      <w:r>
        <w:t xml:space="preserve"> comme  la « science </w:t>
      </w:r>
      <w:r w:rsidRPr="00135920">
        <w:t>, personnelle ou institutionnelle, d’une certaine pratique</w:t>
      </w:r>
      <w:r>
        <w:t>»</w:t>
      </w:r>
      <w:r w:rsidRPr="00135920">
        <w:t>.</w:t>
      </w:r>
    </w:p>
    <w:p w:rsidR="00FE71C8" w:rsidRDefault="00FE71C8" w:rsidP="00FE71C8">
      <w:pPr>
        <w:spacing w:after="0"/>
      </w:pPr>
      <w:r>
        <w:t>Comment accomplir les tâches de tel type ? Interrogation qui appellent une production de techniques et, donc, de praxéologies.</w:t>
      </w:r>
    </w:p>
    <w:p w:rsidR="008D57DF" w:rsidRDefault="00FE71C8" w:rsidP="008D57DF">
      <w:pPr>
        <w:rPr>
          <w:szCs w:val="24"/>
        </w:rPr>
      </w:pPr>
      <w:r>
        <w:br/>
      </w:r>
      <w:r w:rsidR="008D57DF">
        <w:t>L’évaluation en ligne dans le supérieur a déjà été étudiée (</w:t>
      </w:r>
      <w:r w:rsidR="008D57DF" w:rsidRPr="005D30D7">
        <w:t xml:space="preserve">Blais, </w:t>
      </w:r>
      <w:r w:rsidR="008D57DF">
        <w:t xml:space="preserve">Gilles, Agustin, 2015), mais   seul le processus d’évaluation  est étudié. </w:t>
      </w:r>
      <w:r w:rsidR="008D57DF">
        <w:br/>
      </w:r>
      <w:r w:rsidR="008D57DF" w:rsidRPr="007A62AF">
        <w:rPr>
          <w:szCs w:val="24"/>
        </w:rPr>
        <w:t xml:space="preserve">Le niveau </w:t>
      </w:r>
      <w:r w:rsidR="008D57DF">
        <w:rPr>
          <w:szCs w:val="24"/>
        </w:rPr>
        <w:t xml:space="preserve">classe de </w:t>
      </w:r>
      <w:r w:rsidR="008D57DF" w:rsidRPr="007A62AF">
        <w:rPr>
          <w:szCs w:val="24"/>
        </w:rPr>
        <w:t xml:space="preserve">lycée </w:t>
      </w:r>
      <w:r w:rsidR="008D57DF">
        <w:rPr>
          <w:szCs w:val="24"/>
        </w:rPr>
        <w:t>n’est pas investigué alors que ce niveau  est privilégié  lorsqu’il s’agit d’évaluation traditionnelle.</w:t>
      </w:r>
      <w:r w:rsidR="008D57DF" w:rsidRPr="007A62AF">
        <w:rPr>
          <w:szCs w:val="24"/>
        </w:rPr>
        <w:t xml:space="preserve"> </w:t>
      </w:r>
      <w:r w:rsidR="008D57DF">
        <w:rPr>
          <w:szCs w:val="24"/>
        </w:rPr>
        <w:t xml:space="preserve"> </w:t>
      </w:r>
      <w:r w:rsidR="008D57DF">
        <w:rPr>
          <w:szCs w:val="24"/>
        </w:rPr>
        <w:br/>
        <w:t>L</w:t>
      </w:r>
      <w:r w:rsidR="008D57DF" w:rsidRPr="007A62AF">
        <w:rPr>
          <w:szCs w:val="24"/>
        </w:rPr>
        <w:t>’angle de la didactique</w:t>
      </w:r>
      <w:r w:rsidR="008D57DF">
        <w:rPr>
          <w:szCs w:val="24"/>
        </w:rPr>
        <w:t xml:space="preserve"> en évaluation numérique </w:t>
      </w:r>
      <w:r w:rsidR="008D57DF" w:rsidRPr="007A62AF">
        <w:rPr>
          <w:szCs w:val="24"/>
        </w:rPr>
        <w:t xml:space="preserve"> est une approche originale</w:t>
      </w:r>
      <w:r w:rsidR="008D57DF">
        <w:rPr>
          <w:szCs w:val="24"/>
        </w:rPr>
        <w:t xml:space="preserve">. </w:t>
      </w:r>
    </w:p>
    <w:p w:rsidR="008D57DF" w:rsidRPr="001722BD" w:rsidRDefault="008D57DF" w:rsidP="008D57DF">
      <w:pPr>
        <w:rPr>
          <w:szCs w:val="24"/>
        </w:rPr>
      </w:pPr>
      <w:r>
        <w:rPr>
          <w:szCs w:val="24"/>
        </w:rPr>
        <w:t>Dans une optique d’intégration de processus,  la recherche visera ainsi à répondre à la question :</w:t>
      </w:r>
    </w:p>
    <w:p w:rsidR="008D57DF" w:rsidRPr="00E8157F" w:rsidRDefault="008D57DF" w:rsidP="008D57DF">
      <w:pPr>
        <w:pStyle w:val="question0"/>
        <w:ind w:left="993" w:right="992"/>
      </w:pPr>
      <w:r>
        <w:lastRenderedPageBreak/>
        <w:t>Quel est l’effet de la mise en œuvre d’une évaluation numérique sur le processus de régulation des apprentissages ?</w:t>
      </w:r>
    </w:p>
    <w:p w:rsidR="008D57DF" w:rsidRPr="00E8157F" w:rsidRDefault="008D57DF" w:rsidP="008D57DF">
      <w:pPr>
        <w:rPr>
          <w:szCs w:val="24"/>
        </w:rPr>
      </w:pPr>
      <w:r>
        <w:rPr>
          <w:szCs w:val="24"/>
        </w:rPr>
        <w:t>Nous formons d’ors et déjà l’hypothèse suivante :</w:t>
      </w:r>
    </w:p>
    <w:p w:rsidR="008D57DF" w:rsidRDefault="008D57DF" w:rsidP="008D57DF">
      <w:pPr>
        <w:ind w:left="567" w:right="567"/>
        <w:rPr>
          <w:szCs w:val="24"/>
        </w:rPr>
      </w:pPr>
      <w:r>
        <w:rPr>
          <w:szCs w:val="24"/>
        </w:rPr>
        <w:t>L’élève ayant bénéficié d’un premier feed-back lors de l’évaluation automatisée s’investit plus dans la régulation didactique.</w:t>
      </w:r>
    </w:p>
    <w:p w:rsidR="00FE71C8" w:rsidRPr="007A62AF" w:rsidRDefault="00FE71C8" w:rsidP="008D57DF">
      <w:pPr>
        <w:rPr>
          <w:szCs w:val="24"/>
        </w:rPr>
      </w:pPr>
    </w:p>
    <w:p w:rsidR="00FE71C8" w:rsidRPr="007A62AF" w:rsidRDefault="00FE71C8" w:rsidP="00FE71C8">
      <w:pPr>
        <w:rPr>
          <w:rFonts w:eastAsiaTheme="majorEastAsia" w:cstheme="majorBidi"/>
          <w:bCs/>
          <w:color w:val="365F91" w:themeColor="accent1" w:themeShade="BF"/>
          <w:szCs w:val="24"/>
        </w:rPr>
      </w:pPr>
    </w:p>
    <w:p w:rsidR="00FE71C8" w:rsidRDefault="00FE71C8" w:rsidP="00FE71C8">
      <w:pPr>
        <w:rPr>
          <w:rFonts w:eastAsiaTheme="majorEastAsia" w:cstheme="majorBidi"/>
          <w:bCs/>
          <w:color w:val="365F91" w:themeColor="accent1" w:themeShade="BF"/>
          <w:sz w:val="36"/>
          <w:szCs w:val="36"/>
        </w:rPr>
      </w:pPr>
    </w:p>
    <w:p w:rsidR="00FE71C8" w:rsidRDefault="00FE71C8" w:rsidP="00FE71C8"/>
    <w:p w:rsidR="00654B0B" w:rsidRPr="00654B0B" w:rsidRDefault="00654B0B" w:rsidP="00FE71C8"/>
    <w:sectPr w:rsidR="00654B0B" w:rsidRPr="00654B0B" w:rsidSect="00E5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4FC" w:rsidRDefault="00A074FC" w:rsidP="00B10EDD">
      <w:pPr>
        <w:spacing w:after="0" w:line="240" w:lineRule="auto"/>
      </w:pPr>
      <w:r>
        <w:separator/>
      </w:r>
    </w:p>
  </w:endnote>
  <w:endnote w:type="continuationSeparator" w:id="1">
    <w:p w:rsidR="00A074FC" w:rsidRDefault="00A074FC" w:rsidP="00B10EDD">
      <w:pPr>
        <w:spacing w:after="0" w:line="240" w:lineRule="auto"/>
      </w:pPr>
      <w:r>
        <w:continuationSeparator/>
      </w:r>
    </w:p>
  </w:endnote>
  <w:endnote w:id="2">
    <w:p w:rsidR="00FE71C8" w:rsidRDefault="00FE71C8" w:rsidP="00FE71C8">
      <w:pPr>
        <w:pStyle w:val="Notedebasdepage"/>
      </w:pPr>
      <w:r>
        <w:rPr>
          <w:rStyle w:val="Appeldenotedefin"/>
        </w:rPr>
        <w:endnoteRef/>
      </w:r>
      <w:r>
        <w:t xml:space="preserve"> Allal (2007) définit la régulation comme « une succession d’opérations visant à : fixer un but et orienter son action vers celui-ci, contrôler la progression de l’action vers le but, assurer un retour sur l’action (feed-back, rétroaction), confirmer ou réorienter la trajectoire de l’action et/ou redéfinir le but ».</w:t>
      </w:r>
    </w:p>
    <w:p w:rsidR="00FE71C8" w:rsidRDefault="00FE71C8" w:rsidP="00FE71C8">
      <w:pPr>
        <w:pStyle w:val="Notedefin"/>
      </w:pPr>
    </w:p>
  </w:endnote>
  <w:endnote w:id="3">
    <w:p w:rsidR="00FE71C8" w:rsidRDefault="00FE71C8" w:rsidP="00FE71C8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" w:anchor=":~:text=Une%20prax%C3%A9ologie%20ne%20d%C3%A9signe%20donc,laquelle%20cette%20prax%C3%A9ologie%20peut%20vivre." w:history="1">
        <w:r w:rsidRPr="004063F0">
          <w:rPr>
            <w:rStyle w:val="Lienhypertexte"/>
          </w:rPr>
          <w:t>https://ardm.eu/qui-sommes-nous-who-are-we-quienes-somos/yves-chevallard-la-theorie-anthropologique-dudidactique/#:~:text=Une%20prax%C3%A9ologie%20ne%20d%C3%A9signe%20donc,laquelle%20cette%20prax%C3%A9ologie%20peut%20vivre.</w:t>
        </w:r>
      </w:hyperlink>
      <w:r>
        <w:t xml:space="preserve"> Page consultée le 10/06/2020</w:t>
      </w:r>
    </w:p>
    <w:p w:rsidR="00E8157F" w:rsidRDefault="00E8157F" w:rsidP="00FE71C8">
      <w:pPr>
        <w:pStyle w:val="Notedefin"/>
      </w:pPr>
    </w:p>
    <w:p w:rsidR="00E8157F" w:rsidRDefault="00E8157F" w:rsidP="00FE71C8">
      <w:pPr>
        <w:pStyle w:val="Notedefin"/>
      </w:pPr>
    </w:p>
    <w:p w:rsidR="007A78F6" w:rsidRDefault="007A78F6" w:rsidP="007A78F6">
      <w:pPr>
        <w:spacing w:line="480" w:lineRule="auto"/>
        <w:ind w:hanging="480"/>
      </w:pPr>
    </w:p>
    <w:p w:rsidR="007A78F6" w:rsidRDefault="007A78F6" w:rsidP="007A78F6">
      <w:pPr>
        <w:spacing w:line="240" w:lineRule="auto"/>
        <w:ind w:hanging="480"/>
      </w:pPr>
      <w:r>
        <w:t xml:space="preserve">Allal, L., &amp; Huberman, A. M. (1993). </w:t>
      </w:r>
      <w:r>
        <w:rPr>
          <w:i/>
          <w:iCs/>
        </w:rPr>
        <w:t>Assurer la réussite des apprentissages scolaires? : Les propositions de</w:t>
      </w:r>
      <w:r>
        <w:rPr>
          <w:i/>
          <w:iCs/>
        </w:rPr>
        <w:br/>
        <w:t>la pédagogie de maîtrise</w:t>
      </w:r>
      <w:r>
        <w:t>. Delachaux et Niestlé.</w:t>
      </w:r>
    </w:p>
    <w:p w:rsidR="007A78F6" w:rsidRDefault="007A78F6" w:rsidP="007A78F6">
      <w:pPr>
        <w:spacing w:line="240" w:lineRule="auto"/>
        <w:ind w:hanging="480"/>
      </w:pPr>
      <w:r>
        <w:t xml:space="preserve">Allal, L. K., &amp; Mottier Lopez, L. (2007). </w:t>
      </w:r>
      <w:r>
        <w:rPr>
          <w:i/>
          <w:iCs/>
        </w:rPr>
        <w:t>Régulation des apprentissages en situation scolaire et en formation</w:t>
      </w:r>
      <w:r>
        <w:t>. De Boeck</w:t>
      </w:r>
      <w:r w:rsidR="000A0D55">
        <w:t xml:space="preserve"> Supérieur</w:t>
      </w:r>
      <w:r>
        <w:t>.</w:t>
      </w:r>
    </w:p>
    <w:p w:rsidR="007A78F6" w:rsidRDefault="007A78F6" w:rsidP="007A78F6">
      <w:pPr>
        <w:spacing w:line="240" w:lineRule="auto"/>
        <w:ind w:hanging="480"/>
      </w:pPr>
      <w:r>
        <w:t xml:space="preserve">Blais, J.-G., Gilles, J.-L., &amp; Tristan-Lopez, A. (Éds.). (2015). </w:t>
      </w:r>
      <w:r>
        <w:rPr>
          <w:i/>
          <w:iCs/>
        </w:rPr>
        <w:t>Bienvenue au 21e siècle : Évaluation des apprentissages et technologies de l’information et de la communication</w:t>
      </w:r>
      <w:r>
        <w:t>. P. Lang.</w:t>
      </w:r>
    </w:p>
    <w:p w:rsidR="0025234F" w:rsidRDefault="0025234F" w:rsidP="0025234F">
      <w:pPr>
        <w:spacing w:line="240" w:lineRule="auto"/>
        <w:ind w:hanging="480"/>
      </w:pPr>
      <w:r>
        <w:t xml:space="preserve">Chevallard Y., (1992), Concepts fondamentaux de la didactique : perspectives apportées par une approche anthropologique. Recherches en Didactique des </w:t>
      </w:r>
      <w:r w:rsidR="00154738">
        <w:t>Mathématiques, 12.1, 73-112.</w:t>
      </w:r>
    </w:p>
    <w:p w:rsidR="007A78F6" w:rsidRDefault="007A78F6" w:rsidP="0025234F">
      <w:pPr>
        <w:spacing w:line="240" w:lineRule="auto"/>
        <w:ind w:hanging="480"/>
      </w:pPr>
      <w:r>
        <w:t xml:space="preserve">Perrenoud, P. (1998). </w:t>
      </w:r>
      <w:r>
        <w:rPr>
          <w:i/>
          <w:iCs/>
        </w:rPr>
        <w:t>L’évaluation des élèves : De la fabrication de l’exellence à la régulation des apprentissages: entre deux logiques</w:t>
      </w:r>
      <w:r>
        <w:t>. DeBoeck.</w:t>
      </w:r>
    </w:p>
    <w:p w:rsidR="00154738" w:rsidRDefault="00154738" w:rsidP="0025234F">
      <w:pPr>
        <w:spacing w:line="240" w:lineRule="auto"/>
        <w:ind w:hanging="480"/>
      </w:pPr>
      <w:r w:rsidRPr="00154738">
        <w:t>Whitelock, D. and Brasher, A., (2006). Developing a roadmap for e-assessment: which way now? IN: Danson, M. (ed.). 10th CAA International Computer Assisted Assessment Conference : Proceedings of the Conference on 4th and 5th July 2006 at Loughborough University. Loughborough : Lougborough University, pp. 487-504.</w:t>
      </w:r>
    </w:p>
    <w:p w:rsidR="00E8157F" w:rsidRDefault="00E8157F" w:rsidP="00FE71C8">
      <w:pPr>
        <w:pStyle w:val="Notedefin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4FC" w:rsidRDefault="00A074FC" w:rsidP="00B10EDD">
      <w:pPr>
        <w:spacing w:after="0" w:line="240" w:lineRule="auto"/>
      </w:pPr>
      <w:r>
        <w:separator/>
      </w:r>
    </w:p>
  </w:footnote>
  <w:footnote w:type="continuationSeparator" w:id="1">
    <w:p w:rsidR="00A074FC" w:rsidRDefault="00A074FC" w:rsidP="00B1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223"/>
    <w:multiLevelType w:val="hybridMultilevel"/>
    <w:tmpl w:val="1AE29B06"/>
    <w:lvl w:ilvl="0" w:tplc="6338B49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513BD"/>
    <w:multiLevelType w:val="multilevel"/>
    <w:tmpl w:val="E9805DD2"/>
    <w:lvl w:ilvl="0">
      <w:start w:val="1"/>
      <w:numFmt w:val="upperRoman"/>
      <w:pStyle w:val="Titre1"/>
      <w:lvlText w:val="%1"/>
      <w:lvlJc w:val="left"/>
      <w:pPr>
        <w:ind w:left="1428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2">
    <w:nsid w:val="2E191FF8"/>
    <w:multiLevelType w:val="hybridMultilevel"/>
    <w:tmpl w:val="088887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EB105812">
      <w:numFmt w:val="bullet"/>
      <w:pStyle w:val="puce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E2E"/>
    <w:rsid w:val="00012D06"/>
    <w:rsid w:val="00017EFC"/>
    <w:rsid w:val="00045EB8"/>
    <w:rsid w:val="00047B64"/>
    <w:rsid w:val="00060314"/>
    <w:rsid w:val="00096E76"/>
    <w:rsid w:val="000A0D55"/>
    <w:rsid w:val="000B147A"/>
    <w:rsid w:val="000B42DF"/>
    <w:rsid w:val="000C4F6E"/>
    <w:rsid w:val="000D2F26"/>
    <w:rsid w:val="000E4B60"/>
    <w:rsid w:val="000F2BCA"/>
    <w:rsid w:val="00126A28"/>
    <w:rsid w:val="001534E4"/>
    <w:rsid w:val="00154494"/>
    <w:rsid w:val="00154738"/>
    <w:rsid w:val="00167E5A"/>
    <w:rsid w:val="001722BD"/>
    <w:rsid w:val="001734D9"/>
    <w:rsid w:val="00191668"/>
    <w:rsid w:val="001952BF"/>
    <w:rsid w:val="001C4B3F"/>
    <w:rsid w:val="002040BE"/>
    <w:rsid w:val="0021455C"/>
    <w:rsid w:val="0021558C"/>
    <w:rsid w:val="00235CD5"/>
    <w:rsid w:val="00246C21"/>
    <w:rsid w:val="0024721E"/>
    <w:rsid w:val="0025234F"/>
    <w:rsid w:val="002566C4"/>
    <w:rsid w:val="0026032A"/>
    <w:rsid w:val="00266104"/>
    <w:rsid w:val="00270223"/>
    <w:rsid w:val="00275855"/>
    <w:rsid w:val="00277CC5"/>
    <w:rsid w:val="00282DCB"/>
    <w:rsid w:val="002A5BA8"/>
    <w:rsid w:val="002C4889"/>
    <w:rsid w:val="002E2BD0"/>
    <w:rsid w:val="002F0663"/>
    <w:rsid w:val="0034231A"/>
    <w:rsid w:val="00350294"/>
    <w:rsid w:val="003B7508"/>
    <w:rsid w:val="003D38F3"/>
    <w:rsid w:val="00400E40"/>
    <w:rsid w:val="00403958"/>
    <w:rsid w:val="00466C07"/>
    <w:rsid w:val="0047360F"/>
    <w:rsid w:val="00475B7C"/>
    <w:rsid w:val="00480D74"/>
    <w:rsid w:val="004A00D6"/>
    <w:rsid w:val="004A4431"/>
    <w:rsid w:val="004B4F5D"/>
    <w:rsid w:val="004C0728"/>
    <w:rsid w:val="004C1BEB"/>
    <w:rsid w:val="004C3854"/>
    <w:rsid w:val="00535CEB"/>
    <w:rsid w:val="00536351"/>
    <w:rsid w:val="00562616"/>
    <w:rsid w:val="00571530"/>
    <w:rsid w:val="0059684D"/>
    <w:rsid w:val="005A4C3C"/>
    <w:rsid w:val="005D3980"/>
    <w:rsid w:val="005E3A59"/>
    <w:rsid w:val="005F0175"/>
    <w:rsid w:val="005F5DC4"/>
    <w:rsid w:val="006008F9"/>
    <w:rsid w:val="00611929"/>
    <w:rsid w:val="00616FC7"/>
    <w:rsid w:val="00624E2E"/>
    <w:rsid w:val="00637E26"/>
    <w:rsid w:val="00642188"/>
    <w:rsid w:val="00654B0B"/>
    <w:rsid w:val="0068348C"/>
    <w:rsid w:val="0068728B"/>
    <w:rsid w:val="006B3B69"/>
    <w:rsid w:val="006C7F57"/>
    <w:rsid w:val="006E1D33"/>
    <w:rsid w:val="006E36C4"/>
    <w:rsid w:val="006E4FBE"/>
    <w:rsid w:val="006F22E7"/>
    <w:rsid w:val="00700A6E"/>
    <w:rsid w:val="00701A1E"/>
    <w:rsid w:val="00713359"/>
    <w:rsid w:val="00733D74"/>
    <w:rsid w:val="00754DCA"/>
    <w:rsid w:val="007A70CA"/>
    <w:rsid w:val="007A78F6"/>
    <w:rsid w:val="007A7DDC"/>
    <w:rsid w:val="007C7581"/>
    <w:rsid w:val="007C7A30"/>
    <w:rsid w:val="007D2132"/>
    <w:rsid w:val="007D3E95"/>
    <w:rsid w:val="00815F67"/>
    <w:rsid w:val="00821AB2"/>
    <w:rsid w:val="00836EBA"/>
    <w:rsid w:val="00851E9A"/>
    <w:rsid w:val="00852449"/>
    <w:rsid w:val="00873353"/>
    <w:rsid w:val="00874F4A"/>
    <w:rsid w:val="00885637"/>
    <w:rsid w:val="00894997"/>
    <w:rsid w:val="008B0CDF"/>
    <w:rsid w:val="008B68A5"/>
    <w:rsid w:val="008C0E21"/>
    <w:rsid w:val="008C2CB4"/>
    <w:rsid w:val="008D14B3"/>
    <w:rsid w:val="008D57DF"/>
    <w:rsid w:val="009258B8"/>
    <w:rsid w:val="00926B0E"/>
    <w:rsid w:val="009303D6"/>
    <w:rsid w:val="00966091"/>
    <w:rsid w:val="0097503D"/>
    <w:rsid w:val="00980532"/>
    <w:rsid w:val="00994968"/>
    <w:rsid w:val="009E1B60"/>
    <w:rsid w:val="009F121F"/>
    <w:rsid w:val="009F18C7"/>
    <w:rsid w:val="009F51B5"/>
    <w:rsid w:val="00A074FC"/>
    <w:rsid w:val="00A26593"/>
    <w:rsid w:val="00A42026"/>
    <w:rsid w:val="00A60B54"/>
    <w:rsid w:val="00A62C12"/>
    <w:rsid w:val="00A76911"/>
    <w:rsid w:val="00AA1E0B"/>
    <w:rsid w:val="00AB656D"/>
    <w:rsid w:val="00AC53F6"/>
    <w:rsid w:val="00B044AB"/>
    <w:rsid w:val="00B06C74"/>
    <w:rsid w:val="00B10EDD"/>
    <w:rsid w:val="00B20B74"/>
    <w:rsid w:val="00B37FB4"/>
    <w:rsid w:val="00B42FB6"/>
    <w:rsid w:val="00BE01FA"/>
    <w:rsid w:val="00C00789"/>
    <w:rsid w:val="00C040AB"/>
    <w:rsid w:val="00C06FE1"/>
    <w:rsid w:val="00C400B2"/>
    <w:rsid w:val="00CA1550"/>
    <w:rsid w:val="00CC0663"/>
    <w:rsid w:val="00CC3818"/>
    <w:rsid w:val="00CC4FD3"/>
    <w:rsid w:val="00CE3266"/>
    <w:rsid w:val="00CF3132"/>
    <w:rsid w:val="00CF523B"/>
    <w:rsid w:val="00D1626D"/>
    <w:rsid w:val="00D26021"/>
    <w:rsid w:val="00D351E1"/>
    <w:rsid w:val="00D460DB"/>
    <w:rsid w:val="00D5293E"/>
    <w:rsid w:val="00D8206C"/>
    <w:rsid w:val="00D9070E"/>
    <w:rsid w:val="00DB134C"/>
    <w:rsid w:val="00DC0188"/>
    <w:rsid w:val="00DD5C64"/>
    <w:rsid w:val="00DD6109"/>
    <w:rsid w:val="00DE2AEC"/>
    <w:rsid w:val="00E41CB4"/>
    <w:rsid w:val="00E47D18"/>
    <w:rsid w:val="00E52526"/>
    <w:rsid w:val="00E755C1"/>
    <w:rsid w:val="00E8157F"/>
    <w:rsid w:val="00E81A66"/>
    <w:rsid w:val="00EB7996"/>
    <w:rsid w:val="00ED78EC"/>
    <w:rsid w:val="00EF290E"/>
    <w:rsid w:val="00F13F46"/>
    <w:rsid w:val="00F3297A"/>
    <w:rsid w:val="00F5338F"/>
    <w:rsid w:val="00F73802"/>
    <w:rsid w:val="00F805FD"/>
    <w:rsid w:val="00FB1C46"/>
    <w:rsid w:val="00FC4A7E"/>
    <w:rsid w:val="00FD3AC1"/>
    <w:rsid w:val="00FE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26"/>
  </w:style>
  <w:style w:type="paragraph" w:styleId="Titre1">
    <w:name w:val="heading 1"/>
    <w:basedOn w:val="Normal"/>
    <w:next w:val="Titre2"/>
    <w:link w:val="Titre1Car"/>
    <w:uiPriority w:val="9"/>
    <w:qFormat/>
    <w:rsid w:val="00D26021"/>
    <w:pPr>
      <w:keepNext/>
      <w:keepLines/>
      <w:numPr>
        <w:numId w:val="2"/>
      </w:numPr>
      <w:spacing w:before="480" w:after="0"/>
      <w:outlineLvl w:val="0"/>
    </w:pPr>
    <w:rPr>
      <w:rFonts w:ascii="Calibri" w:eastAsiaTheme="majorEastAsia" w:hAnsi="Calibri" w:cstheme="majorBidi"/>
      <w:bCs/>
      <w:color w:val="00206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6021"/>
    <w:pPr>
      <w:keepNext/>
      <w:keepLines/>
      <w:numPr>
        <w:ilvl w:val="1"/>
        <w:numId w:val="2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31849B" w:themeColor="accent5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642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0D2F26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0D2F2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F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F26"/>
    <w:rPr>
      <w:b/>
      <w:bCs/>
      <w:i/>
      <w:iCs/>
      <w:color w:val="4F81BD" w:themeColor="accent1"/>
    </w:rPr>
  </w:style>
  <w:style w:type="paragraph" w:customStyle="1" w:styleId="Question">
    <w:name w:val="Question"/>
    <w:basedOn w:val="Citationintense"/>
    <w:qFormat/>
    <w:rsid w:val="000D2F26"/>
    <w:pPr>
      <w:ind w:left="142"/>
    </w:pPr>
    <w:rPr>
      <w:i w:val="0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5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A1550"/>
    <w:pPr>
      <w:spacing w:before="100" w:after="100"/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4218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642188"/>
  </w:style>
  <w:style w:type="character" w:styleId="Lienhypertexte">
    <w:name w:val="Hyperlink"/>
    <w:basedOn w:val="Policepardfaut"/>
    <w:uiPriority w:val="99"/>
    <w:unhideWhenUsed/>
    <w:rsid w:val="00D460D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0E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3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EDD"/>
  </w:style>
  <w:style w:type="paragraph" w:styleId="Pieddepage">
    <w:name w:val="footer"/>
    <w:basedOn w:val="Normal"/>
    <w:link w:val="Pieddepag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EDD"/>
  </w:style>
  <w:style w:type="character" w:customStyle="1" w:styleId="Titre2Car">
    <w:name w:val="Titre 2 Car"/>
    <w:basedOn w:val="Policepardfaut"/>
    <w:link w:val="Titre2"/>
    <w:uiPriority w:val="9"/>
    <w:rsid w:val="00D26021"/>
    <w:rPr>
      <w:rFonts w:ascii="Calibri" w:eastAsiaTheme="majorEastAsia" w:hAnsi="Calibri" w:cstheme="majorBidi"/>
      <w:b/>
      <w:bCs/>
      <w:color w:val="31849B" w:themeColor="accent5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26021"/>
    <w:rPr>
      <w:rFonts w:ascii="Calibri" w:eastAsiaTheme="majorEastAsia" w:hAnsi="Calibri" w:cstheme="majorBidi"/>
      <w:bCs/>
      <w:color w:val="002060"/>
      <w:sz w:val="36"/>
      <w:szCs w:val="36"/>
    </w:rPr>
  </w:style>
  <w:style w:type="paragraph" w:customStyle="1" w:styleId="Texte">
    <w:name w:val="Texte"/>
    <w:basedOn w:val="Normal"/>
    <w:qFormat/>
    <w:rsid w:val="003B7508"/>
    <w:rPr>
      <w:sz w:val="24"/>
      <w:szCs w:val="24"/>
    </w:rPr>
  </w:style>
  <w:style w:type="paragraph" w:customStyle="1" w:styleId="citation">
    <w:name w:val="citation"/>
    <w:basedOn w:val="Texte"/>
    <w:qFormat/>
    <w:rsid w:val="004C1BEB"/>
    <w:pPr>
      <w:spacing w:after="0"/>
      <w:ind w:left="851" w:right="851"/>
    </w:pPr>
    <w:rPr>
      <w:shd w:val="clear" w:color="auto" w:fill="FFFFFF"/>
    </w:rPr>
  </w:style>
  <w:style w:type="character" w:styleId="Accentuation">
    <w:name w:val="Emphasis"/>
    <w:basedOn w:val="Policepardfaut"/>
    <w:uiPriority w:val="20"/>
    <w:qFormat/>
    <w:rsid w:val="00096E76"/>
    <w:rPr>
      <w:i/>
      <w:iCs/>
    </w:rPr>
  </w:style>
  <w:style w:type="character" w:customStyle="1" w:styleId="nompers">
    <w:name w:val="nompers"/>
    <w:basedOn w:val="Policepardfaut"/>
    <w:rsid w:val="00713359"/>
  </w:style>
  <w:style w:type="character" w:customStyle="1" w:styleId="volumaison">
    <w:name w:val="volumaison"/>
    <w:basedOn w:val="Policepardfaut"/>
    <w:rsid w:val="00713359"/>
  </w:style>
  <w:style w:type="character" w:customStyle="1" w:styleId="volume">
    <w:name w:val="volume"/>
    <w:basedOn w:val="Policepardfaut"/>
    <w:rsid w:val="00713359"/>
  </w:style>
  <w:style w:type="character" w:customStyle="1" w:styleId="nonumero">
    <w:name w:val="nonumero"/>
    <w:basedOn w:val="Policepardfaut"/>
    <w:rsid w:val="00713359"/>
  </w:style>
  <w:style w:type="paragraph" w:customStyle="1" w:styleId="puce">
    <w:name w:val="puce"/>
    <w:basedOn w:val="Paragraphedeliste"/>
    <w:qFormat/>
    <w:rsid w:val="00CA1550"/>
    <w:pPr>
      <w:numPr>
        <w:ilvl w:val="1"/>
        <w:numId w:val="1"/>
      </w:numPr>
      <w:ind w:left="284" w:hanging="142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1D3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1D3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1D33"/>
    <w:rPr>
      <w:vertAlign w:val="superscript"/>
    </w:rPr>
  </w:style>
  <w:style w:type="paragraph" w:customStyle="1" w:styleId="question0">
    <w:name w:val="question"/>
    <w:basedOn w:val="Normal"/>
    <w:qFormat/>
    <w:rsid w:val="006E1D33"/>
    <w:pPr>
      <w:ind w:left="567" w:right="567"/>
    </w:pPr>
    <w:rPr>
      <w:color w:val="5F497A" w:themeColor="accent4" w:themeShade="BF"/>
      <w:sz w:val="24"/>
      <w:szCs w:val="2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E71C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E71C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E71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ac.qc.ca/didactiqu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dm.eu/qui-sommes-nous-who-are-we-quienes-somos/yves-chevallard-la-theorie-anthropologique-dudidactiqu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D1CAA-A3CE-4B89-8E56-861755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2020-06-26T08:35:00Z</dcterms:created>
  <dcterms:modified xsi:type="dcterms:W3CDTF">2020-07-02T07:34:00Z</dcterms:modified>
</cp:coreProperties>
</file>