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安居房律师看法</w:t>
      </w:r>
    </w:p>
    <w:p>
      <w:pPr>
        <w:pStyle w:val="2"/>
      </w:pPr>
      <w:r>
        <w:rPr>
          <w:rFonts w:hint="eastAsia"/>
        </w:rPr>
        <w:t>冯永强律师(亿诚律所，20190328)</w:t>
      </w:r>
    </w:p>
    <w:p>
      <w:pPr>
        <w:pStyle w:val="1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你们合同定的房屋使用权，肯定不是物权。物权是法定的，有明确的几种。使用权属于物权的只有一种，即建设用土地使用权是物权的一种。买卖合同的特征，是所有权的转让。所以不是房屋买卖。你们合同的70年房屋使用权，</w:t>
      </w:r>
      <w:r>
        <w:rPr>
          <w:rFonts w:hint="eastAsia"/>
          <w:b/>
          <w:sz w:val="24"/>
          <w:szCs w:val="24"/>
        </w:rPr>
        <w:t>不是物权，那么就是属于债权。本质上是租赁。</w:t>
      </w:r>
      <w:r>
        <w:rPr>
          <w:rFonts w:hint="eastAsia"/>
          <w:sz w:val="24"/>
          <w:szCs w:val="24"/>
        </w:rPr>
        <w:t>在所有人保持其物权基础上，在特定时期内使用权转让给其他人使用。租赁纠纷。按住建部，公租房纠纷，按民法的民事纠纷来处理。租期最长20年，超过20年的不认同。</w:t>
      </w:r>
    </w:p>
    <w:p>
      <w:pPr>
        <w:pStyle w:val="1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目前房子还没有移交给公司，如果不移交给公司，即使合同有效，但也将没有履约能力。要公司履约，只要论证，跟你们签合同的主体，有自由处理这个房子的能力，它就有履约的可能。</w:t>
      </w:r>
      <w:r>
        <w:rPr>
          <w:rFonts w:hint="eastAsia"/>
          <w:b/>
          <w:sz w:val="24"/>
          <w:szCs w:val="24"/>
        </w:rPr>
        <w:t>认定房子产权，就看土地使用权</w:t>
      </w:r>
      <w:r>
        <w:rPr>
          <w:rFonts w:hint="eastAsia"/>
          <w:sz w:val="24"/>
          <w:szCs w:val="24"/>
        </w:rPr>
        <w:t>，土地使用权和地上盖房子的，应是同一个主体。(目前看，土地使用权是属于国有独资公司，软件谷发展公司。) 项目规划公示，可以查出建设单位，就是目前产权所有者。产权人跟你们签合同是否为同一个主体，就是公司是否有履行的条件。</w:t>
      </w:r>
    </w:p>
    <w:p>
      <w:pPr>
        <w:pStyle w:val="1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影响租房权利，因素：</w:t>
      </w:r>
      <w:r>
        <w:rPr>
          <w:rFonts w:hint="eastAsia"/>
          <w:b/>
          <w:sz w:val="24"/>
          <w:szCs w:val="24"/>
        </w:rPr>
        <w:t>房子是不是合法建的；是不是住宅。</w:t>
      </w:r>
      <w:r>
        <w:rPr>
          <w:rFonts w:hint="eastAsia"/>
          <w:sz w:val="24"/>
          <w:szCs w:val="24"/>
        </w:rPr>
        <w:t>工业配套用地可以是住宅，也可能是研发大楼。公租房的性质跟你们的合同关系不大。合同本身没办法套到公租房上去。</w:t>
      </w:r>
      <w:r>
        <w:rPr>
          <w:rFonts w:hint="eastAsia"/>
          <w:b/>
          <w:sz w:val="24"/>
          <w:szCs w:val="24"/>
        </w:rPr>
        <w:t>即使房子纳入到公租房，也不影响你们行使合同权利。</w:t>
      </w:r>
    </w:p>
    <w:p>
      <w:pPr>
        <w:pStyle w:val="1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如果建设单位跟合同主体不是同一家，不能履行合同，考虑赔偿。关于赔偿：因为不是物权，不是房子所有权买卖合同。所以只能</w:t>
      </w:r>
      <w:r>
        <w:rPr>
          <w:rFonts w:hint="eastAsia"/>
          <w:b/>
          <w:sz w:val="24"/>
          <w:szCs w:val="24"/>
        </w:rPr>
        <w:t>赔偿20年的租金差价</w:t>
      </w:r>
      <w:r>
        <w:rPr>
          <w:rFonts w:hint="eastAsia"/>
          <w:sz w:val="24"/>
          <w:szCs w:val="24"/>
        </w:rPr>
        <w:t>，即：目前的市场租金与我们购房合同的租金差价。50万租70年，从交付到2078年结束还有57年，那么就是50万实际租57年。每年租金500000/57=8772，目前市场租金价格按一期4000每月算，租金每年48000，</w:t>
      </w:r>
      <w:r>
        <w:rPr>
          <w:rFonts w:hint="eastAsia"/>
          <w:b/>
          <w:sz w:val="24"/>
          <w:szCs w:val="24"/>
        </w:rPr>
        <w:t>20年的租金差（48000-8772）*20=784560元。</w:t>
      </w:r>
    </w:p>
    <w:p>
      <w:pPr>
        <w:pStyle w:val="1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非法集资，非法吸收公共存款等四种形式，还本付息或者固定收益，这个情况不能告公司非法集资。</w:t>
      </w:r>
    </w:p>
    <w:p>
      <w:pPr>
        <w:pStyle w:val="1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律师前期费用每人1000-2000，后期按标的物，一般10-15%，人多的，比例相对会小些。</w:t>
      </w:r>
    </w:p>
    <w:p>
      <w:pPr>
        <w:pStyle w:val="1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诉讼费是给法院的，45W的标的，约1W。如果胜诉，由对方拿这个钱。</w:t>
      </w:r>
    </w:p>
    <w:p>
      <w:pPr>
        <w:pStyle w:val="1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在合同有效的情况下，签订合同的双方没有对错之分。</w:t>
      </w:r>
    </w:p>
    <w:p>
      <w:pPr>
        <w:pStyle w:val="1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在房子不能给，不能履约的情况下，</w:t>
      </w:r>
      <w:r>
        <w:rPr>
          <w:rFonts w:hint="eastAsia"/>
          <w:b/>
          <w:sz w:val="24"/>
          <w:szCs w:val="24"/>
        </w:rPr>
        <w:t>再变更诉讼请求</w:t>
      </w:r>
      <w:r>
        <w:rPr>
          <w:rFonts w:hint="eastAsia"/>
          <w:sz w:val="24"/>
          <w:szCs w:val="24"/>
        </w:rPr>
        <w:t>，申请赔偿。</w:t>
      </w:r>
    </w:p>
    <w:p>
      <w:pPr>
        <w:pStyle w:val="1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不动产在雨花台区，级别管辖权不能改变，只能在当地打。一审是最关键的。二审到中院。申请再审，到省级。江苏省再审率8%不到。</w:t>
      </w:r>
    </w:p>
    <w:p/>
    <w:p>
      <w:pPr>
        <w:pStyle w:val="2"/>
      </w:pPr>
      <w:r>
        <w:rPr>
          <w:rFonts w:hint="eastAsia"/>
        </w:rPr>
        <w:t>北京盈科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合同肯定是有效的，因为公司胁迫你们签中止协议就是对方认为合同有效。</w:t>
      </w:r>
      <w:r>
        <w:rPr>
          <w:rFonts w:hint="eastAsia"/>
          <w:sz w:val="24"/>
          <w:szCs w:val="24"/>
        </w:rPr>
        <w:t>其中某个条款可能无效，比如法院判定是一个长租，只会支持20年，不会是70年。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法院可能判定为：一、变相的房屋买卖合同，这种可要求履约，无法履约则赔偿房价。二、长租，只支持20年，无法履约则按租赁赔偿。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大家签合同的主体不同，有中兴新软件、股份公司、上海中兴、中兴软件等，几家公司只要有交叉性，有关联性，他们有权签定这个购房合同，就有履约的可能。</w:t>
      </w:r>
    </w:p>
    <w:p>
      <w:pPr>
        <w:pStyle w:val="19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诉讼时效3年，是从你知道自己的权益受到侵害时算起。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诉讼+媒体报道，通过舆论施压，对大公司的企业形象影响极大</w:t>
      </w:r>
      <w:r>
        <w:rPr>
          <w:rFonts w:hint="eastAsia"/>
          <w:sz w:val="24"/>
          <w:szCs w:val="24"/>
        </w:rPr>
        <w:t>，小公司就无所谓了。在真的判决前，</w:t>
      </w:r>
      <w:r>
        <w:rPr>
          <w:rFonts w:hint="eastAsia"/>
          <w:b/>
          <w:sz w:val="24"/>
          <w:szCs w:val="24"/>
        </w:rPr>
        <w:t>调解阶段</w:t>
      </w:r>
      <w:r>
        <w:rPr>
          <w:rFonts w:hint="eastAsia"/>
          <w:sz w:val="24"/>
          <w:szCs w:val="24"/>
        </w:rPr>
        <w:t>，法官会尽力说服公司拿出办法调解。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不管是否为公司内部分房问题，法院肯定会受理，不可能不受理。只要起诉，肯定会立案，肯定会受理。起诉方要交纳诉讼费的。这明显是一个合同纠纷。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三种退款方式，诉讼的话，合同一样有效。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你们先签的合同，后来才按公租房办的手续。你们签合同时，房子不是公租房，而是保障房。后来他把房子弄成了公租房，是公司的责任。不管房子性质如何，你们不仅有合同，事实上已经履行了合同义务。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针对房屋土地性质，只能在本地南京发起诉讼。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必然先有土地使用权，才可能跟大家签这个合同。</w:t>
      </w:r>
    </w:p>
    <w:p>
      <w:pPr>
        <w:pStyle w:val="2"/>
      </w:pPr>
      <w:r>
        <w:rPr>
          <w:rFonts w:hint="eastAsia"/>
        </w:rPr>
        <w:t>陈伟民(张工联系的)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陈律师：个人认为走法律诉讼风险比较大。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同事：风险比较大，是民事诉讼，还是其他？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陈律师：民事诉讼。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同事：其他的可能性呢？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陈律师：我个人觉得找媒体曝光应该更有效果。</w:t>
      </w:r>
    </w:p>
    <w:p/>
    <w:p/>
    <w:p>
      <w:pPr>
        <w:pStyle w:val="2"/>
      </w:pPr>
      <w:r>
        <w:rPr>
          <w:rFonts w:hint="eastAsia"/>
        </w:rPr>
        <w:t>曹坤(邵工联系的)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不能履行，其实不是政策原因，是所有权的原因。这个房屋的所有权是政策国有资产公司的，而非中兴的。现在你们只要落实一个问题，就是土地使用权的问题，如果是政府或其代理人的，就不必再为此事纠缠了。如果土地使用权是政府的，合同其实是有效的，但不能履行，也没有违约金条款，所以你们能挽回的不多。中兴和政府通过某种安排，可以使用这些房屋，但政府不同意。和转租要经业主同意一个意思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关于赔偿：不会考虑等价权益补偿，违约金是约定的，合同双方没有约定违约金。赔偿的是实际损失，实际损失就是本金加利息。你讲的预期收益损失和机会成本，法律不认可。</w:t>
      </w:r>
    </w:p>
    <w:p/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有同事指出，</w:t>
      </w:r>
      <w:r>
        <w:rPr>
          <w:rFonts w:hint="eastAsia"/>
          <w:b/>
          <w:sz w:val="24"/>
          <w:szCs w:val="24"/>
        </w:rPr>
        <w:t>曺律师关于赔偿的说法，跟公司法务的看法一样。冯律师跟北京盈科的律师，至少认为还有20年租金</w:t>
      </w:r>
      <w:r>
        <w:rPr>
          <w:rFonts w:hint="eastAsia"/>
          <w:sz w:val="24"/>
          <w:szCs w:val="24"/>
        </w:rPr>
        <w:t>。</w:t>
      </w:r>
    </w:p>
    <w:p>
      <w:pPr>
        <w:rPr>
          <w:woUserID w:val="1"/>
        </w:rPr>
      </w:pPr>
      <w:r>
        <w:rPr>
          <w:woUserID w:val="1"/>
        </w:rPr>
        <w:t>有同事指出，曹律师的赔偿，没有包括从合同交付日期开始到目前的租金损失，这个肯定是能得到法院支持。所以有些律师简单的咨询，可能会有不少错误。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ria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247F9"/>
    <w:multiLevelType w:val="multilevel"/>
    <w:tmpl w:val="1AC247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8752D6"/>
    <w:multiLevelType w:val="multilevel"/>
    <w:tmpl w:val="438752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4F0"/>
    <w:rsid w:val="0007147F"/>
    <w:rsid w:val="000D6578"/>
    <w:rsid w:val="000E2A4B"/>
    <w:rsid w:val="00125584"/>
    <w:rsid w:val="00163689"/>
    <w:rsid w:val="001F55B6"/>
    <w:rsid w:val="00212B8A"/>
    <w:rsid w:val="00241C1C"/>
    <w:rsid w:val="00256CCE"/>
    <w:rsid w:val="00284C6D"/>
    <w:rsid w:val="00294136"/>
    <w:rsid w:val="002D7FE9"/>
    <w:rsid w:val="002E2E21"/>
    <w:rsid w:val="00315263"/>
    <w:rsid w:val="00323C75"/>
    <w:rsid w:val="003644B5"/>
    <w:rsid w:val="00375CDD"/>
    <w:rsid w:val="00404D1B"/>
    <w:rsid w:val="00440821"/>
    <w:rsid w:val="00467D9E"/>
    <w:rsid w:val="00491913"/>
    <w:rsid w:val="00494979"/>
    <w:rsid w:val="004A7FF4"/>
    <w:rsid w:val="005237F3"/>
    <w:rsid w:val="005343C3"/>
    <w:rsid w:val="00537BED"/>
    <w:rsid w:val="00563267"/>
    <w:rsid w:val="00594883"/>
    <w:rsid w:val="00597254"/>
    <w:rsid w:val="005A53A3"/>
    <w:rsid w:val="006217F7"/>
    <w:rsid w:val="006D7593"/>
    <w:rsid w:val="00791E44"/>
    <w:rsid w:val="007D7FDD"/>
    <w:rsid w:val="00824DC9"/>
    <w:rsid w:val="008C200A"/>
    <w:rsid w:val="008F19F5"/>
    <w:rsid w:val="009601A2"/>
    <w:rsid w:val="00983BEE"/>
    <w:rsid w:val="00984E27"/>
    <w:rsid w:val="009D4751"/>
    <w:rsid w:val="00A07844"/>
    <w:rsid w:val="00A50755"/>
    <w:rsid w:val="00AB50E4"/>
    <w:rsid w:val="00AB52F3"/>
    <w:rsid w:val="00AB6490"/>
    <w:rsid w:val="00AC663C"/>
    <w:rsid w:val="00B24656"/>
    <w:rsid w:val="00B3408F"/>
    <w:rsid w:val="00B4387D"/>
    <w:rsid w:val="00B9724F"/>
    <w:rsid w:val="00BA1554"/>
    <w:rsid w:val="00BA1742"/>
    <w:rsid w:val="00BC15DE"/>
    <w:rsid w:val="00BC337C"/>
    <w:rsid w:val="00BD29B2"/>
    <w:rsid w:val="00BD4910"/>
    <w:rsid w:val="00BF3BEE"/>
    <w:rsid w:val="00C067A1"/>
    <w:rsid w:val="00C07BE2"/>
    <w:rsid w:val="00C127D9"/>
    <w:rsid w:val="00C3242B"/>
    <w:rsid w:val="00C454F0"/>
    <w:rsid w:val="00CA5AA7"/>
    <w:rsid w:val="00CA7790"/>
    <w:rsid w:val="00D6529D"/>
    <w:rsid w:val="00D7205D"/>
    <w:rsid w:val="00DA3448"/>
    <w:rsid w:val="00E36FD9"/>
    <w:rsid w:val="00ED7AF3"/>
    <w:rsid w:val="00F16D5F"/>
    <w:rsid w:val="00F25311"/>
    <w:rsid w:val="00F42219"/>
    <w:rsid w:val="00F719D3"/>
    <w:rsid w:val="00F84A11"/>
    <w:rsid w:val="00FB0636"/>
    <w:rsid w:val="00FB4B7E"/>
    <w:rsid w:val="00FC2B72"/>
    <w:rsid w:val="00FC33FD"/>
    <w:rsid w:val="61C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18"/>
    <w:unhideWhenUsed/>
    <w:uiPriority w:val="99"/>
    <w:rPr>
      <w:sz w:val="18"/>
      <w:szCs w:val="18"/>
    </w:rPr>
  </w:style>
  <w:style w:type="paragraph" w:styleId="9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iPriority w:val="0"/>
    <w:rPr>
      <w:sz w:val="24"/>
      <w:szCs w:val="24"/>
    </w:rPr>
  </w:style>
  <w:style w:type="character" w:customStyle="1" w:styleId="14">
    <w:name w:val="页眉 Char"/>
    <w:basedOn w:val="12"/>
    <w:link w:val="10"/>
    <w:semiHidden/>
    <w:uiPriority w:val="99"/>
    <w:rPr>
      <w:sz w:val="18"/>
      <w:szCs w:val="18"/>
    </w:rPr>
  </w:style>
  <w:style w:type="character" w:customStyle="1" w:styleId="15">
    <w:name w:val="页脚 Char"/>
    <w:basedOn w:val="12"/>
    <w:link w:val="9"/>
    <w:semiHidden/>
    <w:uiPriority w:val="99"/>
    <w:rPr>
      <w:sz w:val="18"/>
      <w:szCs w:val="18"/>
    </w:rPr>
  </w:style>
  <w:style w:type="character" w:customStyle="1" w:styleId="16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12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18">
    <w:name w:val="批注框文本 Char"/>
    <w:basedOn w:val="12"/>
    <w:link w:val="8"/>
    <w:semiHidden/>
    <w:uiPriority w:val="99"/>
    <w:rPr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Char"/>
    <w:basedOn w:val="12"/>
    <w:link w:val="4"/>
    <w:semiHidden/>
    <w:uiPriority w:val="9"/>
    <w:rPr>
      <w:b/>
      <w:bCs/>
      <w:sz w:val="32"/>
      <w:szCs w:val="32"/>
    </w:rPr>
  </w:style>
  <w:style w:type="character" w:customStyle="1" w:styleId="21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2"/>
    <w:link w:val="6"/>
    <w:semiHidden/>
    <w:uiPriority w:val="9"/>
    <w:rPr>
      <w:b/>
      <w:bCs/>
      <w:sz w:val="28"/>
      <w:szCs w:val="28"/>
    </w:rPr>
  </w:style>
  <w:style w:type="character" w:customStyle="1" w:styleId="23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290</Words>
  <Characters>1658</Characters>
  <Lines>13</Lines>
  <Paragraphs>3</Paragraphs>
  <TotalTime>0</TotalTime>
  <ScaleCrop>false</ScaleCrop>
  <LinksUpToDate>false</LinksUpToDate>
  <CharactersWithSpaces>1945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2019-05-02T09:09:00Z</dcterms:created>
  <dc:creator>正版用户</dc:creator>
  <cp:lastModifiedBy>正版用户</cp:lastModifiedBy>
  <dcterms:modified xsi:type="dcterms:W3CDTF">2019-05-02T17:25:13Z</dcterms:modified>
  <dc:title>安居房律师看法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