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BB6535"/>
          <w:spacing w:val="40"/>
          <w:sz w:val="20"/>
          <w:szCs w:val="20"/>
        </w:rPr>
        <w:t xml:space="preserve">HUB ENTRAÎNEURS</w:t>
      </w:r>
    </w:p>
    <w:p>
      <w:pPr>
        <w:pStyle w:val="Title"/>
        <w:spacing w:after="120"/>
      </w:pPr>
      <w:r>
        <w:rPr>
          <w:rFonts w:ascii="Calibri" w:cs="Calibri" w:eastAsia="Calibri" w:hAnsi="Calibri"/>
          <w:b/>
          <w:bCs/>
          <w:color w:val="213146"/>
          <w:sz w:val="52"/>
          <w:szCs w:val="52"/>
        </w:rPr>
        <w:t xml:space="preserve">Cadrage produit et technique</w:t>
      </w:r>
    </w:p>
    <w:p>
      <w:pPr>
        <w:spacing w:after="100"/>
      </w:pPr>
      <w:r>
        <w:rPr>
          <w:color w:val="5B6573"/>
          <w:sz w:val="21"/>
          <w:szCs w:val="21"/>
        </w:rPr>
        <w:t xml:space="preserve">Version 1 · 9 octobre 2026 · Techqueb</w:t>
      </w:r>
    </w:p>
    <w:p>
      <w:pPr>
        <w:spacing w:after="100"/>
      </w:pPr>
      <w:r>
        <w:rPr>
          <w:color w:val="5B6573"/>
          <w:sz w:val="21"/>
          <w:szCs w:val="21"/>
        </w:rPr>
        <w:t xml:space="preserve">Statut : proposition issue de la discussion du 7 octobre 2026, à valider avec Steve. La section 2 liste ce qui est décidé ; le reste est proposé.</w:t>
      </w:r>
    </w:p>
    <w:p>
      <w:pPr>
        <w:spacing w:after="100"/>
      </w:pPr>
      <w:r>
        <w:rPr>
          <w:color w:val="5B6573"/>
          <w:sz w:val="21"/>
          <w:szCs w:val="21"/>
        </w:rPr>
        <w:t xml:space="preserve">La partie A (sections 1 à 8) décrit le produit et s'adresse à tous. La partie B (sections 9 à 14) est technique.</w:t>
      </w:r>
    </w:p>
    <w:p>
      <w:pPr>
        <w:pStyle w:val="Heading1"/>
        <w:pBdr>
          <w:bottom w:val="single" w:color="BB6535" w:sz="12" w:space="4"/>
        </w:pBdr>
        <w:spacing w:after="200" w:before="240"/>
      </w:pPr>
      <w:r>
        <w:rPr>
          <w:rFonts w:ascii="Calibri" w:cs="Calibri" w:eastAsia="Calibri" w:hAnsi="Calibri"/>
          <w:b/>
          <w:bCs/>
          <w:color w:val="213146"/>
          <w:sz w:val="36"/>
          <w:szCs w:val="36"/>
        </w:rPr>
        <w:t xml:space="preserve">Partie A — Produit</w:t>
      </w:r>
    </w:p>
    <w:p>
      <w:pPr>
        <w:pStyle w:val="Heading2"/>
        <w:keepNext/>
        <w:spacing w:after="120" w:before="320"/>
      </w:pPr>
      <w:r>
        <w:rPr>
          <w:rFonts w:ascii="Calibri" w:cs="Calibri" w:eastAsia="Calibri" w:hAnsi="Calibri"/>
          <w:b/>
          <w:bCs/>
          <w:color w:val="213146"/>
          <w:sz w:val="28"/>
          <w:szCs w:val="28"/>
        </w:rPr>
        <w:t xml:space="preserve">1. En bref</w:t>
      </w:r>
    </w:p>
    <w:p>
      <w:pPr>
        <w:pStyle w:val="ListParagraph"/>
        <w:numPr>
          <w:ilvl w:val="0"/>
          <w:numId w:val="2"/>
        </w:numPr>
        <w:spacing w:after="80" w:line="276"/>
      </w:pPr>
      <w:r>
        <w:rPr>
          <w:b/>
          <w:bCs/>
        </w:rPr>
        <w:t xml:space="preserve">Le problème :</w:t>
      </w:r>
      <w:r>
        <w:t xml:space="preserve"> un entraîneur de baseball trouve difficilement des pratiques adaptées à l'âge et au calibre de son équipe, et n'a pas accès facilement à un entraîneur certifié pour poser ses questions. Le catalogue public de Baseball Canada compte 31 plans de pratique, classés par des tags libres en anglais.</w:t>
      </w:r>
    </w:p>
    <w:p>
      <w:pPr>
        <w:pStyle w:val="ListParagraph"/>
        <w:numPr>
          <w:ilvl w:val="0"/>
          <w:numId w:val="2"/>
        </w:numPr>
        <w:spacing w:after="80" w:line="276"/>
      </w:pPr>
      <w:r>
        <w:rPr>
          <w:b/>
          <w:bCs/>
        </w:rPr>
        <w:t xml:space="preserve">La solution :</w:t>
      </w:r>
      <w:r>
        <w:t xml:space="preserve"> un hub web où l'entraîneur trouve en trois clics une pratique pour son équipe, l'obtient gratuitement ou l'achète, réserve un appel Zoom avec un entraîneur certifié, ou commande une pratique sur mesure.</w:t>
      </w:r>
    </w:p>
    <w:p>
      <w:pPr>
        <w:pStyle w:val="ListParagraph"/>
        <w:numPr>
          <w:ilvl w:val="0"/>
          <w:numId w:val="2"/>
        </w:numPr>
        <w:spacing w:after="80" w:line="276"/>
      </w:pPr>
      <w:r>
        <w:rPr>
          <w:b/>
          <w:bCs/>
        </w:rPr>
        <w:t xml:space="preserve">Le contenu existe déjà :</w:t>
      </w:r>
      <w:r>
        <w:t xml:space="preserve"> Steve a plus de 25 ans d'expérience et des centaines de pratiques prêtes, en PDF et en Word, dont il détient tous les droits.</w:t>
      </w:r>
    </w:p>
    <w:p>
      <w:pPr>
        <w:pStyle w:val="ListParagraph"/>
        <w:numPr>
          <w:ilvl w:val="0"/>
          <w:numId w:val="2"/>
        </w:numPr>
        <w:spacing w:after="80" w:line="276"/>
      </w:pPr>
      <w:r>
        <w:rPr>
          <w:b/>
          <w:bCs/>
        </w:rPr>
        <w:t xml:space="preserve">Le modèle d'affaires :</w:t>
      </w:r>
      <w:r>
        <w:t xml:space="preserve"> l'entraîneur paie à l'unité ; l'association peut acheter l'accès pour ses entraîneurs. Paiement par Stripe.</w:t>
      </w:r>
    </w:p>
    <w:p>
      <w:pPr>
        <w:pStyle w:val="ListParagraph"/>
        <w:numPr>
          <w:ilvl w:val="0"/>
          <w:numId w:val="2"/>
        </w:numPr>
        <w:spacing w:after="80" w:line="276"/>
      </w:pPr>
      <w:r>
        <w:rPr>
          <w:b/>
          <w:bCs/>
        </w:rPr>
        <w:t xml:space="preserve">Le premier lancement (MVP) :</w:t>
      </w:r>
      <w:r>
        <w:t xml:space="preserve"> catalogue, achat unitaire, réservation de Zoom, demande sur mesure. Environ 32 à 42 jours-personne de développement.</w:t>
      </w:r>
    </w:p>
    <w:p>
      <w:pPr>
        <w:pStyle w:val="ListParagraph"/>
        <w:numPr>
          <w:ilvl w:val="0"/>
          <w:numId w:val="2"/>
        </w:numPr>
        <w:spacing w:after="80" w:line="276"/>
      </w:pPr>
      <w:r>
        <w:rPr>
          <w:b/>
          <w:bCs/>
        </w:rPr>
        <w:t xml:space="preserve">La cible prioritaire :</w:t>
      </w:r>
      <w:r>
        <w:t xml:space="preserve"> le parent bénévole qui dirige une équipe Récréatif ou B ; première association visée, Baseball Sherbrooke.</w:t>
      </w:r>
    </w:p>
    <w:p>
      <w:pPr>
        <w:spacing w:after="40"/>
      </w:pPr>
    </w:p>
    <w:p>
      <w:pPr>
        <w:pStyle w:val="Heading2"/>
        <w:keepNext/>
        <w:spacing w:after="120" w:before="320"/>
      </w:pPr>
      <w:r>
        <w:rPr>
          <w:rFonts w:ascii="Calibri" w:cs="Calibri" w:eastAsia="Calibri" w:hAnsi="Calibri"/>
          <w:b/>
          <w:bCs/>
          <w:color w:val="213146"/>
          <w:sz w:val="28"/>
          <w:szCs w:val="28"/>
        </w:rPr>
        <w:t xml:space="preserve">2. Décisions 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2"/>
        <w:gridCol w:w="5978"/>
      </w:tblGrid>
      <w:tr>
        <w:trPr>
          <w:tblHeader/>
        </w:trPr>
        <w:tc>
          <w:tcPr>
            <w:tcW w:type="dxa" w:w="3382"/>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Sujet</w:t>
            </w:r>
          </w:p>
        </w:tc>
        <w:tc>
          <w:tcPr>
            <w:tcW w:type="dxa" w:w="5978"/>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Décision</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Paiement</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Stripe, dans l'application. Amilia n'est pas utilisé pour vendre le contenu du hub.</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Qui paie</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L'entraîneur et l'association, les deux.</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Marchand</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 seul compte Stripe. Le Centre ou l'Académie : à brancher en configuration le moment venu, avec les taxes.</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Rémunération des entraîneurs certifiés</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Par l'Académie ou le Centre, hors de l'application. L'application fournit un relevé d'activité.</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Contenu de départ</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Les pratiques de Steve (des centaines, PDF et Word, prêtes). Steve en détient tous les droits.</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Catégories couvertes</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À partir du 9U. Le Rallye Cap (4 à 7 ans) est exclu : les entraîneurs y sont fournis.</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Niveau</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Le niveau est le calibre de l'équipe : Récréatif, B, A, AA, AAA.</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Classement</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Listes fermées gérées par l'administration. Aucun tag libre.</w:t>
            </w:r>
          </w:p>
        </w:tc>
      </w:tr>
      <w:tr>
        <w:trPr>
          <w:cantSplit/>
        </w:trPr>
        <w:tc>
          <w:tcPr>
            <w:tcW w:type="dxa" w:w="338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Règle d'annulation des Zoom</w:t>
            </w:r>
          </w:p>
        </w:tc>
        <w:tc>
          <w:tcPr>
            <w:tcW w:type="dxa" w:w="597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Reportée ; on n'en est pas là.</w:t>
            </w:r>
          </w:p>
        </w:tc>
      </w:tr>
    </w:tbl>
    <w:p>
      <w:pPr>
        <w:spacing w:after="80"/>
      </w:pPr>
    </w:p>
    <w:p>
      <w:pPr>
        <w:pStyle w:val="Heading2"/>
        <w:keepNext/>
        <w:spacing w:after="120" w:before="320"/>
      </w:pPr>
      <w:r>
        <w:rPr>
          <w:rFonts w:ascii="Calibri" w:cs="Calibri" w:eastAsia="Calibri" w:hAnsi="Calibri"/>
          <w:b/>
          <w:bCs/>
          <w:color w:val="213146"/>
          <w:sz w:val="28"/>
          <w:szCs w:val="28"/>
        </w:rPr>
        <w:t xml:space="preserve">3. Contexte</w:t>
      </w:r>
    </w:p>
    <w:p>
      <w:pPr>
        <w:pStyle w:val="Heading3"/>
        <w:keepNext/>
        <w:spacing w:after="80" w:before="220"/>
      </w:pPr>
      <w:r>
        <w:rPr>
          <w:rFonts w:ascii="Calibri" w:cs="Calibri" w:eastAsia="Calibri" w:hAnsi="Calibri"/>
          <w:b/>
          <w:bCs/>
          <w:color w:val="BB6535"/>
          <w:sz w:val="23"/>
          <w:szCs w:val="23"/>
        </w:rPr>
        <w:t xml:space="preserve">3.1 Ce qui existe ailleurs</w:t>
      </w:r>
    </w:p>
    <w:p>
      <w:pPr>
        <w:spacing w:after="120" w:line="288"/>
      </w:pPr>
      <w:r>
        <w:t xml:space="preserve">Le catalogue de plans de pratique de Baseball Canada, consulté le 7 octobre 2026, montre ce qu'il faut éviter :</w:t>
      </w:r>
    </w:p>
    <w:p>
      <w:pPr>
        <w:pStyle w:val="ListParagraph"/>
        <w:numPr>
          <w:ilvl w:val="0"/>
          <w:numId w:val="2"/>
        </w:numPr>
        <w:spacing w:after="80" w:line="276"/>
      </w:pPr>
      <w:r>
        <w:rPr>
          <w:b/>
          <w:bCs/>
        </w:rPr>
        <w:t xml:space="preserve">Tags libres sans gouvernance :</w:t>
      </w:r>
      <w:r>
        <w:t xml:space="preserve"> « 1st base » et « 1st base coach » coexistent, un tag vide regroupe 2 plans, « baseics » (avec une faute) en regroupe 10, et « baseball » sert de tag sur un site de baseball.</w:t>
      </w:r>
    </w:p>
    <w:p>
      <w:pPr>
        <w:pStyle w:val="ListParagraph"/>
        <w:numPr>
          <w:ilvl w:val="0"/>
          <w:numId w:val="2"/>
        </w:numPr>
        <w:spacing w:after="80" w:line="276"/>
      </w:pPr>
      <w:r>
        <w:rPr>
          <w:b/>
          <w:bCs/>
        </w:rPr>
        <w:t xml:space="preserve">Information utile mal rangée :</w:t>
      </w:r>
      <w:r>
        <w:t xml:space="preserve"> les couleurs white, grey, black, green, blue et red désignent des niveaux de progression, mais rien ne l'explique au visiteur.</w:t>
      </w:r>
    </w:p>
    <w:p>
      <w:pPr>
        <w:pStyle w:val="ListParagraph"/>
        <w:numPr>
          <w:ilvl w:val="0"/>
          <w:numId w:val="2"/>
        </w:numPr>
        <w:spacing w:after="80" w:line="276"/>
      </w:pPr>
      <w:r>
        <w:rPr>
          <w:b/>
          <w:bCs/>
        </w:rPr>
        <w:t xml:space="preserve">Un niveau qui ne filtre rien :</w:t>
      </w:r>
      <w:r>
        <w:t xml:space="preserve"> un même plan est classé débutant, intermédiaire et avancé.</w:t>
      </w:r>
    </w:p>
    <w:p>
      <w:pPr>
        <w:pStyle w:val="ListParagraph"/>
        <w:numPr>
          <w:ilvl w:val="0"/>
          <w:numId w:val="2"/>
        </w:numPr>
        <w:spacing w:after="80" w:line="276"/>
      </w:pPr>
      <w:r>
        <w:rPr>
          <w:b/>
          <w:bCs/>
        </w:rPr>
        <w:t xml:space="preserve">Des compteurs incohérents :</w:t>
      </w:r>
      <w:r>
        <w:t xml:space="preserve"> « throwing (33) » sur 31 plans, signe que plans et exercices sont mélangés.</w:t>
      </w:r>
    </w:p>
    <w:p>
      <w:pPr>
        <w:pStyle w:val="ListParagraph"/>
        <w:numPr>
          <w:ilvl w:val="0"/>
          <w:numId w:val="2"/>
        </w:numPr>
        <w:spacing w:after="80" w:line="276"/>
      </w:pPr>
      <w:r>
        <w:rPr>
          <w:b/>
          <w:bCs/>
        </w:rPr>
        <w:t xml:space="preserve">Aucun critère pratique :</w:t>
      </w:r>
      <w:r>
        <w:t xml:space="preserve"> ni âge, ni durée, ni lieu, ni nombre de joueurs.</w:t>
      </w:r>
    </w:p>
    <w:p>
      <w:pPr>
        <w:spacing w:after="40"/>
      </w:pPr>
    </w:p>
    <w:p>
      <w:pPr>
        <w:pStyle w:val="Heading3"/>
        <w:keepNext/>
        <w:spacing w:after="80" w:before="220"/>
      </w:pPr>
      <w:r>
        <w:rPr>
          <w:rFonts w:ascii="Calibri" w:cs="Calibri" w:eastAsia="Calibri" w:hAnsi="Calibri"/>
          <w:b/>
          <w:bCs/>
          <w:color w:val="BB6535"/>
          <w:sz w:val="23"/>
          <w:szCs w:val="23"/>
        </w:rPr>
        <w:t xml:space="preserve">3.2 Ce que prévoyait le document de départ</w:t>
      </w:r>
    </w:p>
    <w:p>
      <w:pPr>
        <w:spacing w:after="120" w:line="288"/>
      </w:pPr>
      <w:r>
        <w:t xml:space="preserve">Le document de départ préparé avec Steve fixe le cadre :</w:t>
      </w:r>
    </w:p>
    <w:p>
      <w:pPr>
        <w:pStyle w:val="ListParagraph"/>
        <w:numPr>
          <w:ilvl w:val="0"/>
          <w:numId w:val="2"/>
        </w:numPr>
        <w:spacing w:after="80" w:line="276"/>
      </w:pPr>
      <w:r>
        <w:t xml:space="preserve">Le hub est accessible depuis les sites du Centre et de l'Académie, avec un lien depuis le site de Baseball Estrie.</w:t>
      </w:r>
    </w:p>
    <w:p>
      <w:pPr>
        <w:pStyle w:val="ListParagraph"/>
        <w:numPr>
          <w:ilvl w:val="0"/>
          <w:numId w:val="2"/>
        </w:numPr>
        <w:spacing w:after="80" w:line="276"/>
      </w:pPr>
      <w:r>
        <w:t xml:space="preserve">Il prend le relais des cours PNCE de Baseball Canada et de la sélection des entraîneurs par leur association.</w:t>
      </w:r>
    </w:p>
    <w:p>
      <w:pPr>
        <w:pStyle w:val="ListParagraph"/>
        <w:numPr>
          <w:ilvl w:val="0"/>
          <w:numId w:val="2"/>
        </w:numPr>
        <w:spacing w:after="80" w:line="276"/>
      </w:pPr>
      <w:r>
        <w:t xml:space="preserve">Partenaires : Baseball Estrie et le programme CTR. Première association visée : Baseball Sherbrooke.</w:t>
      </w:r>
    </w:p>
    <w:p>
      <w:pPr>
        <w:pStyle w:val="ListParagraph"/>
        <w:numPr>
          <w:ilvl w:val="0"/>
          <w:numId w:val="2"/>
        </w:numPr>
        <w:spacing w:after="80" w:line="276"/>
      </w:pPr>
      <w:r>
        <w:t xml:space="preserve">Il offre du soutien pour la pratique, l'avant-match et la gestion de match, par documents et par appels Zoom.</w:t>
      </w:r>
    </w:p>
    <w:p>
      <w:pPr>
        <w:pStyle w:val="ListParagraph"/>
        <w:numPr>
          <w:ilvl w:val="0"/>
          <w:numId w:val="2"/>
        </w:numPr>
        <w:spacing w:after="80" w:line="276"/>
      </w:pPr>
      <w:r>
        <w:t xml:space="preserve">Un texte explicatif clair, accessible à tous, présente le programme.</w:t>
      </w:r>
    </w:p>
    <w:p>
      <w:pPr>
        <w:spacing w:after="40"/>
      </w:pPr>
    </w:p>
    <w:p>
      <w:pPr>
        <w:spacing w:after="120" w:line="288"/>
      </w:pPr>
      <w:r>
        <w:t xml:space="preserve">La section 5.2 indique où chaque élément de ce document se retrouve dans le plan.</w:t>
      </w:r>
    </w:p>
    <w:p>
      <w:pPr>
        <w:pStyle w:val="Heading2"/>
        <w:keepNext/>
        <w:spacing w:after="120" w:before="320"/>
      </w:pPr>
      <w:r>
        <w:rPr>
          <w:rFonts w:ascii="Calibri" w:cs="Calibri" w:eastAsia="Calibri" w:hAnsi="Calibri"/>
          <w:b/>
          <w:bCs/>
          <w:color w:val="213146"/>
          <w:sz w:val="28"/>
          <w:szCs w:val="28"/>
        </w:rPr>
        <w:t xml:space="preserve">4. À qui ça s'adresse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3039"/>
        <w:gridCol w:w="4137"/>
      </w:tblGrid>
      <w:tr>
        <w:trPr>
          <w:tblHeader/>
        </w:trPr>
        <w:tc>
          <w:tcPr>
            <w:tcW w:type="dxa" w:w="218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Rôle</w:t>
            </w:r>
          </w:p>
        </w:tc>
        <w:tc>
          <w:tcPr>
            <w:tcW w:type="dxa" w:w="3039"/>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Qui</w:t>
            </w:r>
          </w:p>
        </w:tc>
        <w:tc>
          <w:tcPr>
            <w:tcW w:type="dxa" w:w="4137"/>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Ce qu'il fait dans le hub</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Visiteur</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Toute personne, sans compte</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Lit la présentation, parcourt le catalogue, voit les fiches et leurs aperçus</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Entraîneur</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Coach d'une équipe, souvent parent bénévole</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Crée son compte, décrit son équipe, obtient ou achète des pratiques, réserve un Zoom, commande une pratique sur mesure</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Responsable d'association</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Personne désignée par l'association (phase 2)</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Achète des accès pour ses entraîneurs, les invite, suit l'utilisation</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Entraîneur certifié</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 et les autres experts de l'Académie</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Publie ses disponibilités, donne les appels Zoom, réalise les pratiques sur mesure</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Gestionnaire de contenu</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 ou une personne de l'Académie</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Publie et classe les pratiques, gère les listes de référence, suit les demandes</w:t>
            </w:r>
          </w:p>
        </w:tc>
      </w:tr>
      <w:tr>
        <w:trPr>
          <w:cantSplit/>
        </w:trPr>
        <w:tc>
          <w:tcPr>
            <w:tcW w:type="dxa" w:w="21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Administrateur</w:t>
            </w:r>
          </w:p>
        </w:tc>
        <w:tc>
          <w:tcPr>
            <w:tcW w:type="dxa" w:w="30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Sébastien et l'Académie</w:t>
            </w:r>
          </w:p>
        </w:tc>
        <w:tc>
          <w:tcPr>
            <w:tcW w:type="dxa" w:w="413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Gère les comptes, les prix et la configuration</w:t>
            </w:r>
          </w:p>
        </w:tc>
      </w:tr>
    </w:tbl>
    <w:p>
      <w:pPr>
        <w:spacing w:after="80"/>
      </w:pPr>
    </w:p>
    <w:p>
      <w:pPr>
        <w:spacing w:after="120" w:line="288"/>
      </w:pPr>
      <w:r>
        <w:t xml:space="preserve">Une même personne peut cumuler : Steve sera probablement gestionnaire et entraîneur certifié.</w:t>
      </w:r>
    </w:p>
    <w:p>
      <w:pPr>
        <w:pStyle w:val="Heading2"/>
        <w:keepNext/>
        <w:spacing w:after="120" w:before="320"/>
      </w:pPr>
      <w:r>
        <w:rPr>
          <w:rFonts w:ascii="Calibri" w:cs="Calibri" w:eastAsia="Calibri" w:hAnsi="Calibri"/>
          <w:b/>
          <w:bCs/>
          <w:color w:val="213146"/>
          <w:sz w:val="28"/>
          <w:szCs w:val="28"/>
        </w:rPr>
        <w:t xml:space="preserve">5. Ce que le hub offre</w:t>
      </w:r>
    </w:p>
    <w:p>
      <w:pPr>
        <w:pStyle w:val="Heading3"/>
        <w:keepNext/>
        <w:spacing w:after="80" w:before="220"/>
      </w:pPr>
      <w:r>
        <w:rPr>
          <w:rFonts w:ascii="Calibri" w:cs="Calibri" w:eastAsia="Calibri" w:hAnsi="Calibri"/>
          <w:b/>
          <w:bCs/>
          <w:color w:val="BB6535"/>
          <w:sz w:val="23"/>
          <w:szCs w:val="23"/>
        </w:rPr>
        <w:t xml:space="preserve">5.1 Trois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4"/>
        <w:gridCol w:w="5893"/>
        <w:gridCol w:w="2243"/>
      </w:tblGrid>
      <w:tr>
        <w:trPr>
          <w:tblHeader/>
        </w:trPr>
        <w:tc>
          <w:tcPr>
            <w:tcW w:type="dxa" w:w="122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Version</w:t>
            </w:r>
          </w:p>
        </w:tc>
        <w:tc>
          <w:tcPr>
            <w:tcW w:type="dxa" w:w="5893"/>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Contenu</w:t>
            </w:r>
          </w:p>
        </w:tc>
        <w:tc>
          <w:tcPr>
            <w:tcW w:type="dxa" w:w="2243"/>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Ordre de grandeur</w:t>
            </w:r>
          </w:p>
        </w:tc>
      </w:tr>
      <w:tr>
        <w:trPr>
          <w:cantSplit/>
        </w:trPr>
        <w:tc>
          <w:tcPr>
            <w:tcW w:type="dxa" w:w="122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w:t>
            </w:r>
          </w:p>
        </w:tc>
        <w:tc>
          <w:tcPr>
            <w:tcW w:type="dxa" w:w="589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Inscription libre, profil et équipe (catégorie, calibre) · catalogue public filtrable et fiches avec aperçu · pratiques gratuites et achat unitaire par Stripe · « Mes pratiques » et téléchargement · réservation et achat d'un Zoom individuel · demande de pratique sur mesure à prix fixe · espace gestionnaire (pratiques, listes, demandes) · relevé par entraîneur certifié · page de présentation et lien vers les cours PNCE</w:t>
            </w:r>
          </w:p>
        </w:tc>
        <w:tc>
          <w:tcPr>
            <w:tcW w:type="dxa" w:w="224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32 à 42 jours-personne</w:t>
            </w:r>
          </w:p>
        </w:tc>
      </w:tr>
      <w:tr>
        <w:trPr>
          <w:cantSplit/>
        </w:trPr>
        <w:tc>
          <w:tcPr>
            <w:tcW w:type="dxa" w:w="122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w:t>
            </w:r>
          </w:p>
        </w:tc>
        <w:tc>
          <w:tcPr>
            <w:tcW w:type="dxa" w:w="589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Import en lot assisté par IA · licences d'association et invitations · abonnements (mois, trimestre, saison, année) et combos · Zoom de groupe et semi-privé, lien créé par l'API Zoom · filigrane au nom de l'acheteur · vidéos liées aux fiches · section règlements · affichage terrain sur cellulaire et version imprimable</w:t>
            </w:r>
          </w:p>
        </w:tc>
        <w:tc>
          <w:tcPr>
            <w:tcW w:type="dxa" w:w="224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25 à 36 jours-personne</w:t>
            </w:r>
          </w:p>
        </w:tc>
      </w:tr>
      <w:tr>
        <w:trPr>
          <w:cantSplit/>
        </w:trPr>
        <w:tc>
          <w:tcPr>
            <w:tcW w:type="dxa" w:w="122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Futur</w:t>
            </w:r>
          </w:p>
        </w:tc>
        <w:tc>
          <w:tcPr>
            <w:tcW w:type="dxa" w:w="589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Banque d'exercices et assembleur de pratiques · plans de saison · forfaits incluant du temps de cage ou de terrain · suivi terrain · consultation hors ligne · FAQ alimentée par les questions reçues · ouverture à d'autres régions</w:t>
            </w:r>
          </w:p>
        </w:tc>
        <w:tc>
          <w:tcPr>
            <w:tcW w:type="dxa" w:w="224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Non estimé</w:t>
            </w:r>
          </w:p>
        </w:tc>
      </w:tr>
    </w:tbl>
    <w:p>
      <w:pPr>
        <w:spacing w:after="80"/>
      </w:pPr>
    </w:p>
    <w:p>
      <w:pPr>
        <w:spacing w:after="120" w:line="288"/>
      </w:pPr>
      <w:r>
        <w:t xml:space="preserve">Les ordres de grandeur supposent un développeur senior qui travaille sur le socle existant. Ils sont à raffiner après la validation de ce document.</w:t>
      </w:r>
    </w:p>
    <w:p>
      <w:pPr>
        <w:pStyle w:val="Heading3"/>
        <w:keepNext/>
        <w:spacing w:after="80" w:before="220"/>
      </w:pPr>
      <w:r>
        <w:rPr>
          <w:rFonts w:ascii="Calibri" w:cs="Calibri" w:eastAsia="Calibri" w:hAnsi="Calibri"/>
          <w:b/>
          <w:bCs/>
          <w:color w:val="BB6535"/>
          <w:sz w:val="23"/>
          <w:szCs w:val="23"/>
        </w:rPr>
        <w:t xml:space="preserve">5.2 Ce que devient le document de départ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88"/>
        <w:gridCol w:w="4572"/>
      </w:tblGrid>
      <w:tr>
        <w:trPr>
          <w:tblHeader/>
        </w:trPr>
        <w:tc>
          <w:tcPr>
            <w:tcW w:type="dxa" w:w="4788"/>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Élément du document de départ</w:t>
            </w:r>
          </w:p>
        </w:tc>
        <w:tc>
          <w:tcPr>
            <w:tcW w:type="dxa" w:w="4572"/>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Où il se retrouve</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Document unitaire</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 : achat unitaire d'une pratique</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Combos et trios de documents</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 : produit « combo »</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Appel Zoom unitaire, privé</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 : réservation d'un Zoom individuel</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Zoom de groupe, semi-privé, série d'appels</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Choix d'un entraîneur</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 : l'entraîneur choisit le créneau d'un entraîneur certifié</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Choix du produit par discipline (général, lanceur, frappeur, avant-champ, champ, receveur)</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Facette « Volet » du catalogue (section 6)</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Services au mois, au trimestre, à la saison ou à l'année</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 : abonnements</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Vidéos (Baseball Canada, maison, YouTube)</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 : lien vidéo sur la fiche</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Texte explicatif clair</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 : page de présentation publique</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Bouton vers les cours PNCE</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Liens depuis les sites du Centre, de l'Académie et de Baseball Estrie</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MVP : simple lien, rien à développer</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Côté réglementation</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Production : section règlements</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Suivi terrain, forfaits avec cage ou turf, « La Totale »</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Futur. Les plateaux restent réservés et facturés dans Amilia.</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Convention des entraîneurs</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À préciser avec Steve</w:t>
            </w:r>
          </w:p>
        </w:tc>
      </w:tr>
      <w:tr>
        <w:trPr>
          <w:cantSplit/>
        </w:trPr>
        <w:tc>
          <w:tcPr>
            <w:tcW w:type="dxa" w:w="478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Facturation par Amilia</w:t>
            </w:r>
          </w:p>
        </w:tc>
        <w:tc>
          <w:tcPr>
            <w:tcW w:type="dxa" w:w="457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Remplacée par Stripe pour le hub</w:t>
            </w:r>
          </w:p>
        </w:tc>
      </w:tr>
    </w:tbl>
    <w:p>
      <w:pPr>
        <w:spacing w:after="80"/>
      </w:pPr>
    </w:p>
    <w:p>
      <w:pPr>
        <w:pStyle w:val="Heading2"/>
        <w:keepNext/>
        <w:spacing w:after="120" w:before="320"/>
      </w:pPr>
      <w:r>
        <w:rPr>
          <w:rFonts w:ascii="Calibri" w:cs="Calibri" w:eastAsia="Calibri" w:hAnsi="Calibri"/>
          <w:b/>
          <w:bCs/>
          <w:color w:val="213146"/>
          <w:sz w:val="28"/>
          <w:szCs w:val="28"/>
        </w:rPr>
        <w:t xml:space="preserve">6. Le catalogue</w:t>
      </w:r>
    </w:p>
    <w:p>
      <w:pPr>
        <w:pStyle w:val="Heading3"/>
        <w:keepNext/>
        <w:spacing w:after="80" w:before="220"/>
      </w:pPr>
      <w:r>
        <w:rPr>
          <w:rFonts w:ascii="Calibri" w:cs="Calibri" w:eastAsia="Calibri" w:hAnsi="Calibri"/>
          <w:b/>
          <w:bCs/>
          <w:color w:val="BB6535"/>
          <w:sz w:val="23"/>
          <w:szCs w:val="23"/>
        </w:rPr>
        <w:t xml:space="preserve">6.1 Les facettes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1"/>
        <w:gridCol w:w="4429"/>
        <w:gridCol w:w="3430"/>
      </w:tblGrid>
      <w:tr>
        <w:trPr>
          <w:tblHeader/>
        </w:trPr>
        <w:tc>
          <w:tcPr>
            <w:tcW w:type="dxa" w:w="1501"/>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Facette</w:t>
            </w:r>
          </w:p>
        </w:tc>
        <w:tc>
          <w:tcPr>
            <w:tcW w:type="dxa" w:w="4429"/>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Valeurs</w:t>
            </w:r>
          </w:p>
        </w:tc>
        <w:tc>
          <w:tcPr>
            <w:tcW w:type="dxa" w:w="3430"/>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Règle</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Catégorie</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9U, 11U, 13U, 15U, 18U (liste à valider avec Steve)</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Une plage min–max : une pratique 9U–11U sort dans les deux catégories</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Calibre</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Récréatif, B, A, AA, AAA</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Une plage min–max, deux calibres au plus</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Volet</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Frappeur, lanceur, receveur, défensive (avant-champ, champ extérieur), course sur les buts, général</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 ou plusieurs</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Habileté</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Sous-liste de chaque volet, cinq à huit par volet (ex. lanceur : mécanique, retraits sur les buts, lancer long)</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Facultative, liste tenue par Steve</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Type</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Pratique complète, exercice, avant-match, gestion de match</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 seul</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Lieu</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Terrain, gymnase, cage</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 ou plusieurs</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Durée</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En minutes</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Obligatoire</w:t>
            </w:r>
          </w:p>
        </w:tc>
      </w:tr>
      <w:tr>
        <w:trPr>
          <w:cantSplit/>
        </w:trPr>
        <w:tc>
          <w:tcPr>
            <w:tcW w:type="dxa" w:w="150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Joueurs</w:t>
            </w:r>
          </w:p>
        </w:tc>
        <w:tc>
          <w:tcPr>
            <w:tcW w:type="dxa" w:w="442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Nombre minimal et maximal</w:t>
            </w:r>
          </w:p>
        </w:tc>
        <w:tc>
          <w:tcPr>
            <w:tcW w:type="dxa" w:w="343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Obligatoire</w:t>
            </w:r>
          </w:p>
        </w:tc>
      </w:tr>
    </w:tbl>
    <w:p>
      <w:pPr>
        <w:spacing w:after="80"/>
      </w:pPr>
    </w:p>
    <w:p>
      <w:pPr>
        <w:pStyle w:val="Heading3"/>
        <w:keepNext/>
        <w:spacing w:after="80" w:before="220"/>
      </w:pPr>
      <w:r>
        <w:rPr>
          <w:rFonts w:ascii="Calibri" w:cs="Calibri" w:eastAsia="Calibri" w:hAnsi="Calibri"/>
          <w:b/>
          <w:bCs/>
          <w:color w:val="BB6535"/>
          <w:sz w:val="23"/>
          <w:szCs w:val="23"/>
        </w:rPr>
        <w:t xml:space="preserve">6.2 Les règles du catalogue</w:t>
      </w:r>
    </w:p>
    <w:p>
      <w:pPr>
        <w:pStyle w:val="ListParagraph"/>
        <w:numPr>
          <w:ilvl w:val="0"/>
          <w:numId w:val="2"/>
        </w:numPr>
        <w:spacing w:after="80" w:line="276"/>
      </w:pPr>
      <w:r>
        <w:rPr>
          <w:b/>
          <w:bCs/>
        </w:rPr>
        <w:t xml:space="preserve">Listes fermées.</w:t>
      </w:r>
      <w:r>
        <w:t xml:space="preserve"> Le gestionnaire choisit dans une liste ; il ne tape jamais un tag. Les listes sont gérées dans l'espace administration.</w:t>
      </w:r>
    </w:p>
    <w:p>
      <w:pPr>
        <w:pStyle w:val="ListParagraph"/>
        <w:numPr>
          <w:ilvl w:val="0"/>
          <w:numId w:val="2"/>
        </w:numPr>
        <w:spacing w:after="80" w:line="276"/>
      </w:pPr>
      <w:r>
        <w:rPr>
          <w:b/>
          <w:bCs/>
        </w:rPr>
        <w:t xml:space="preserve">Plages ordonnées.</w:t>
      </w:r>
      <w:r>
        <w:t xml:space="preserve"> Catégories et calibres ont un ordre ; une plage couvre toutes les valeurs entre ses bornes. Si le Récréatif ne se place pas sous le B, l'ordre se corrige dans la liste.</w:t>
      </w:r>
    </w:p>
    <w:p>
      <w:pPr>
        <w:pStyle w:val="ListParagraph"/>
        <w:numPr>
          <w:ilvl w:val="0"/>
          <w:numId w:val="2"/>
        </w:numPr>
        <w:spacing w:after="80" w:line="276"/>
      </w:pPr>
      <w:r>
        <w:rPr>
          <w:b/>
          <w:bCs/>
        </w:rPr>
        <w:t xml:space="preserve">Deux calibres au plus.</w:t>
      </w:r>
      <w:r>
        <w:t xml:space="preserve"> Sinon le filtre ne sert à rien, comme chez Baseball Canada. Une exception reste possible, justifiée par le gestionnaire.</w:t>
      </w:r>
    </w:p>
    <w:p>
      <w:pPr>
        <w:pStyle w:val="ListParagraph"/>
        <w:numPr>
          <w:ilvl w:val="0"/>
          <w:numId w:val="2"/>
        </w:numPr>
        <w:spacing w:after="80" w:line="276"/>
      </w:pPr>
      <w:r>
        <w:rPr>
          <w:b/>
          <w:bCs/>
        </w:rPr>
        <w:t xml:space="preserve">Combinaisons valides.</w:t>
      </w:r>
      <w:r>
        <w:t xml:space="preserve"> Tous les calibres n'existent pas dans toutes les catégories ; une table catégorie × calibre évite d'offrir des filtres qui ne mènent nulle part.</w:t>
      </w:r>
    </w:p>
    <w:p>
      <w:pPr>
        <w:pStyle w:val="ListParagraph"/>
        <w:numPr>
          <w:ilvl w:val="0"/>
          <w:numId w:val="2"/>
        </w:numPr>
        <w:spacing w:after="80" w:line="276"/>
      </w:pPr>
      <w:r>
        <w:rPr>
          <w:b/>
          <w:bCs/>
        </w:rPr>
        <w:t xml:space="preserve">Compteurs exacts.</w:t>
      </w:r>
      <w:r>
        <w:t xml:space="preserve"> Chaque valeur de filtre affiche son nombre de résultats ; les valeurs à zéro sont masquées.</w:t>
      </w:r>
    </w:p>
    <w:p>
      <w:pPr>
        <w:pStyle w:val="ListParagraph"/>
        <w:numPr>
          <w:ilvl w:val="0"/>
          <w:numId w:val="2"/>
        </w:numPr>
        <w:spacing w:after="80" w:line="276"/>
      </w:pPr>
      <w:r>
        <w:rPr>
          <w:b/>
          <w:bCs/>
        </w:rPr>
        <w:t xml:space="preserve">Recherche texte en complément.</w:t>
      </w:r>
      <w:r>
        <w:t xml:space="preserve"> Elle porte sur le titre, le résumé et des mots-clés internes, invisibles au public.</w:t>
      </w:r>
    </w:p>
    <w:p>
      <w:pPr>
        <w:pStyle w:val="ListParagraph"/>
        <w:numPr>
          <w:ilvl w:val="0"/>
          <w:numId w:val="2"/>
        </w:numPr>
        <w:spacing w:after="80" w:line="276"/>
      </w:pPr>
      <w:r>
        <w:rPr>
          <w:b/>
          <w:bCs/>
        </w:rPr>
        <w:t xml:space="preserve">L'équipe du coach comme filtre par défaut.</w:t>
      </w:r>
      <w:r>
        <w:t xml:space="preserve"> À l'inscription, l'entraîneur indique la catégorie et le calibre de son équipe ; l'accueil lui présente directement « Pour ton 11U A ».</w:t>
      </w:r>
    </w:p>
    <w:p>
      <w:pPr>
        <w:spacing w:after="40"/>
      </w:pPr>
    </w:p>
    <w:p>
      <w:pPr>
        <w:pStyle w:val="Heading3"/>
        <w:keepNext/>
        <w:spacing w:after="80" w:before="220"/>
      </w:pPr>
      <w:r>
        <w:rPr>
          <w:rFonts w:ascii="Calibri" w:cs="Calibri" w:eastAsia="Calibri" w:hAnsi="Calibri"/>
          <w:b/>
          <w:bCs/>
          <w:color w:val="BB6535"/>
          <w:sz w:val="23"/>
          <w:szCs w:val="23"/>
        </w:rPr>
        <w:t xml:space="preserve">6.3 La fiche d'une pratique</w:t>
      </w:r>
    </w:p>
    <w:p>
      <w:pPr>
        <w:spacing w:after="120" w:line="288"/>
      </w:pPr>
      <w:r>
        <w:t xml:space="preserve">Une fiche affiche le titre, un résumé de deux ou trois lignes, les facettes, le matériel requis, un aperçu (première page) et, le cas échéant, une vidéo. Exemple de ligne de résultat :</w:t>
      </w:r>
    </w:p>
    <w:p>
      <w:pPr>
        <w:pBdr>
          <w:left w:val="single" w:color="BB6535" w:sz="24" w:space="8"/>
        </w:pBdr>
        <w:shd w:fill="F3F5F8" w:color="auto" w:val="clear"/>
        <w:spacing w:after="160" w:before="80"/>
        <w:ind w:left="240" w:right="240"/>
      </w:pPr>
      <w:r>
        <w:rPr>
          <w:b/>
          <w:bCs/>
          <w:color w:val="213146"/>
        </w:rPr>
        <w:t xml:space="preserve">Relais et double jeu · 11U–13U · A–AA · Défensive (avant-champ) · Pratique complète · 75 min · Terrain · 12 joueurs</w:t>
      </w:r>
    </w:p>
    <w:p>
      <w:pPr>
        <w:spacing w:after="120" w:line="288"/>
      </w:pPr>
      <w:r>
        <w:t xml:space="preserve">L'entraîneur sait en trois secondes si la pratique convient à son équipe, avant même de l'ouvrir.</w:t>
      </w:r>
    </w:p>
    <w:p>
      <w:pPr>
        <w:pStyle w:val="Heading3"/>
        <w:keepNext/>
        <w:spacing w:after="80" w:before="220"/>
      </w:pPr>
      <w:r>
        <w:rPr>
          <w:rFonts w:ascii="Calibri" w:cs="Calibri" w:eastAsia="Calibri" w:hAnsi="Calibri"/>
          <w:b/>
          <w:bCs/>
          <w:color w:val="BB6535"/>
          <w:sz w:val="23"/>
          <w:szCs w:val="23"/>
        </w:rPr>
        <w:t xml:space="preserve">6.4 Gratuit et payant</w:t>
      </w:r>
    </w:p>
    <w:p>
      <w:pPr>
        <w:pStyle w:val="ListParagraph"/>
        <w:numPr>
          <w:ilvl w:val="0"/>
          <w:numId w:val="2"/>
        </w:numPr>
        <w:spacing w:after="80" w:line="276"/>
      </w:pPr>
      <w:r>
        <w:t xml:space="preserve">Au moins une pratique gratuite par catégorie, concentrée sur le Récréatif et le B, là où se trouvent les parents bénévoles.</w:t>
      </w:r>
    </w:p>
    <w:p>
      <w:pPr>
        <w:pStyle w:val="ListParagraph"/>
        <w:numPr>
          <w:ilvl w:val="0"/>
          <w:numId w:val="2"/>
        </w:numPr>
        <w:spacing w:after="80" w:line="276"/>
      </w:pPr>
      <w:r>
        <w:t xml:space="preserve">Le visiteur voit la fiche et l'aperçu ; télécharger, même une pratique gratuite, demande un compte. Ça permet de connaître ses utilisateurs et de leur écrire.</w:t>
      </w:r>
    </w:p>
    <w:p>
      <w:pPr>
        <w:pStyle w:val="ListParagraph"/>
        <w:numPr>
          <w:ilvl w:val="0"/>
          <w:numId w:val="2"/>
        </w:numPr>
        <w:spacing w:after="80" w:line="276"/>
      </w:pPr>
      <w:r>
        <w:t xml:space="preserve">Le lancement se fait avec 40 à 60 pratiques choisies parmi les plus soignées, qui couvrent chaque catégorie. Le reste entre par vagues.</w:t>
      </w:r>
    </w:p>
    <w:p>
      <w:pPr>
        <w:spacing w:after="40"/>
      </w:pPr>
    </w:p>
    <w:p>
      <w:pPr>
        <w:pStyle w:val="Heading2"/>
        <w:keepNext/>
        <w:spacing w:after="120" w:before="320"/>
      </w:pPr>
      <w:r>
        <w:rPr>
          <w:rFonts w:ascii="Calibri" w:cs="Calibri" w:eastAsia="Calibri" w:hAnsi="Calibri"/>
          <w:b/>
          <w:bCs/>
          <w:color w:val="213146"/>
          <w:sz w:val="28"/>
          <w:szCs w:val="28"/>
        </w:rPr>
        <w:t xml:space="preserve">7. Parcours clés</w:t>
      </w:r>
    </w:p>
    <w:p>
      <w:pPr>
        <w:pStyle w:val="Heading3"/>
        <w:keepNext/>
        <w:spacing w:after="80" w:before="220"/>
      </w:pPr>
      <w:r>
        <w:rPr>
          <w:rFonts w:ascii="Calibri" w:cs="Calibri" w:eastAsia="Calibri" w:hAnsi="Calibri"/>
          <w:b/>
          <w:bCs/>
          <w:color w:val="BB6535"/>
          <w:sz w:val="23"/>
          <w:szCs w:val="23"/>
        </w:rPr>
        <w:t xml:space="preserve">7.1 Trouver et obtenir une pratique</w:t>
      </w:r>
    </w:p>
    <w:p>
      <w:pPr>
        <w:pStyle w:val="ListParagraph"/>
        <w:numPr>
          <w:ilvl w:val="0"/>
          <w:numId w:val="3"/>
        </w:numPr>
        <w:spacing w:after="80" w:line="276"/>
      </w:pPr>
      <w:r>
        <w:t xml:space="preserve">L'entraîneur arrive sur l'accueil, filtré par défaut pour son équipe s'il est connecté.</w:t>
      </w:r>
    </w:p>
    <w:p>
      <w:pPr>
        <w:pStyle w:val="ListParagraph"/>
        <w:numPr>
          <w:ilvl w:val="0"/>
          <w:numId w:val="3"/>
        </w:numPr>
        <w:spacing w:after="80" w:line="276"/>
      </w:pPr>
      <w:r>
        <w:t xml:space="preserve">Il affine par volet, habileté, durée ou lieu, puis ouvre une fiche.</w:t>
      </w:r>
    </w:p>
    <w:p>
      <w:pPr>
        <w:pStyle w:val="ListParagraph"/>
        <w:numPr>
          <w:ilvl w:val="0"/>
          <w:numId w:val="3"/>
        </w:numPr>
        <w:spacing w:after="80" w:line="276"/>
      </w:pPr>
      <w:r>
        <w:t xml:space="preserve">Si la pratique est gratuite, il la télécharge. Sinon, il clique sur « Acheter » et paie sur la page Stripe.</w:t>
      </w:r>
    </w:p>
    <w:p>
      <w:pPr>
        <w:pStyle w:val="ListParagraph"/>
        <w:numPr>
          <w:ilvl w:val="0"/>
          <w:numId w:val="3"/>
        </w:numPr>
        <w:spacing w:after="80" w:line="276"/>
      </w:pPr>
      <w:r>
        <w:t xml:space="preserve">Au retour, la pratique est dans « Mes pratiques » ; un reçu part par courriel.</w:t>
      </w:r>
    </w:p>
    <w:p>
      <w:pPr>
        <w:spacing w:after="40"/>
      </w:pPr>
    </w:p>
    <w:p>
      <w:pPr>
        <w:pStyle w:val="Heading3"/>
        <w:keepNext/>
        <w:spacing w:after="80" w:before="220"/>
      </w:pPr>
      <w:r>
        <w:rPr>
          <w:rFonts w:ascii="Calibri" w:cs="Calibri" w:eastAsia="Calibri" w:hAnsi="Calibri"/>
          <w:b/>
          <w:bCs/>
          <w:color w:val="BB6535"/>
          <w:sz w:val="23"/>
          <w:szCs w:val="23"/>
        </w:rPr>
        <w:t xml:space="preserve">7.2 Réserver un appel Zoom</w:t>
      </w:r>
    </w:p>
    <w:p>
      <w:pPr>
        <w:pStyle w:val="ListParagraph"/>
        <w:numPr>
          <w:ilvl w:val="0"/>
          <w:numId w:val="4"/>
        </w:numPr>
        <w:spacing w:after="80" w:line="276"/>
      </w:pPr>
      <w:r>
        <w:t xml:space="preserve">L'entraîneur choisit un entraîneur certifié et un créneau parmi ceux publiés.</w:t>
      </w:r>
    </w:p>
    <w:p>
      <w:pPr>
        <w:pStyle w:val="ListParagraph"/>
        <w:numPr>
          <w:ilvl w:val="0"/>
          <w:numId w:val="4"/>
        </w:numPr>
        <w:spacing w:after="80" w:line="276"/>
      </w:pPr>
      <w:r>
        <w:t xml:space="preserve">Il décrit sa question en quelques lignes, puis paie. Le créneau est bloqué pendant le paiement.</w:t>
      </w:r>
    </w:p>
    <w:p>
      <w:pPr>
        <w:pStyle w:val="ListParagraph"/>
        <w:numPr>
          <w:ilvl w:val="0"/>
          <w:numId w:val="4"/>
        </w:numPr>
        <w:spacing w:after="80" w:line="276"/>
      </w:pPr>
      <w:r>
        <w:t xml:space="preserve">Le paiement confirmé, les deux parties reçoivent un courriel avec la date et le lien Zoom.</w:t>
      </w:r>
    </w:p>
    <w:p>
      <w:pPr>
        <w:pStyle w:val="ListParagraph"/>
        <w:numPr>
          <w:ilvl w:val="0"/>
          <w:numId w:val="4"/>
        </w:numPr>
        <w:spacing w:after="80" w:line="276"/>
      </w:pPr>
      <w:r>
        <w:t xml:space="preserve">Après l'appel, l'entraîneur certifié marque la réservation « faite » ou « absent ». C'est ce statut qui alimente le relevé.</w:t>
      </w:r>
    </w:p>
    <w:p>
      <w:pPr>
        <w:spacing w:after="40"/>
      </w:pPr>
    </w:p>
    <w:p>
      <w:pPr>
        <w:pStyle w:val="Heading3"/>
        <w:keepNext/>
        <w:spacing w:after="80" w:before="220"/>
      </w:pPr>
      <w:r>
        <w:rPr>
          <w:rFonts w:ascii="Calibri" w:cs="Calibri" w:eastAsia="Calibri" w:hAnsi="Calibri"/>
          <w:b/>
          <w:bCs/>
          <w:color w:val="BB6535"/>
          <w:sz w:val="23"/>
          <w:szCs w:val="23"/>
        </w:rPr>
        <w:t xml:space="preserve">7.3 Demander une pratique sur mesure</w:t>
      </w:r>
    </w:p>
    <w:p>
      <w:pPr>
        <w:pStyle w:val="ListParagraph"/>
        <w:numPr>
          <w:ilvl w:val="0"/>
          <w:numId w:val="5"/>
        </w:numPr>
        <w:spacing w:after="80" w:line="276"/>
      </w:pPr>
      <w:r>
        <w:t xml:space="preserve">L'entraîneur remplit un formulaire structuré : catégorie et calibre, volets, objectif, nombre de joueurs, durée, lieu, matériel, contraintes, date souhaitée.</w:t>
      </w:r>
    </w:p>
    <w:p>
      <w:pPr>
        <w:pStyle w:val="ListParagraph"/>
        <w:numPr>
          <w:ilvl w:val="0"/>
          <w:numId w:val="5"/>
        </w:numPr>
        <w:spacing w:after="80" w:line="276"/>
      </w:pPr>
      <w:r>
        <w:t xml:space="preserve">Il paie un prix fixe.</w:t>
      </w:r>
    </w:p>
    <w:p>
      <w:pPr>
        <w:pStyle w:val="ListParagraph"/>
        <w:numPr>
          <w:ilvl w:val="0"/>
          <w:numId w:val="5"/>
        </w:numPr>
        <w:spacing w:after="80" w:line="276"/>
      </w:pPr>
      <w:r>
        <w:t xml:space="preserve">Le gestionnaire assigne la demande à un entraîneur certifié, qui la réalise.</w:t>
      </w:r>
    </w:p>
    <w:p>
      <w:pPr>
        <w:pStyle w:val="ListParagraph"/>
        <w:numPr>
          <w:ilvl w:val="0"/>
          <w:numId w:val="5"/>
        </w:numPr>
        <w:spacing w:after="80" w:line="276"/>
      </w:pPr>
      <w:r>
        <w:t xml:space="preserve">La pratique livrée apparaît dans « Mes pratiques » de l'entraîneur, visible de lui seul ; il est avisé par courriel.</w:t>
      </w:r>
    </w:p>
    <w:p>
      <w:pPr>
        <w:spacing w:after="40"/>
      </w:pPr>
    </w:p>
    <w:p>
      <w:pPr>
        <w:pStyle w:val="Heading3"/>
        <w:keepNext/>
        <w:spacing w:after="80" w:before="220"/>
      </w:pPr>
      <w:r>
        <w:rPr>
          <w:rFonts w:ascii="Calibri" w:cs="Calibri" w:eastAsia="Calibri" w:hAnsi="Calibri"/>
          <w:b/>
          <w:bCs/>
          <w:color w:val="BB6535"/>
          <w:sz w:val="23"/>
          <w:szCs w:val="23"/>
        </w:rPr>
        <w:t xml:space="preserve">7.4 Licence d'association (phase Production)</w:t>
      </w:r>
    </w:p>
    <w:p>
      <w:pPr>
        <w:pStyle w:val="ListParagraph"/>
        <w:numPr>
          <w:ilvl w:val="0"/>
          <w:numId w:val="6"/>
        </w:numPr>
        <w:spacing w:after="80" w:line="276"/>
      </w:pPr>
      <w:r>
        <w:t xml:space="preserve">Le responsable achète un nombre de sièges pour la saison.</w:t>
      </w:r>
    </w:p>
    <w:p>
      <w:pPr>
        <w:pStyle w:val="ListParagraph"/>
        <w:numPr>
          <w:ilvl w:val="0"/>
          <w:numId w:val="6"/>
        </w:numPr>
        <w:spacing w:after="80" w:line="276"/>
      </w:pPr>
      <w:r>
        <w:t xml:space="preserve">Il invite ses entraîneurs par courriel ou leur remet un code.</w:t>
      </w:r>
    </w:p>
    <w:p>
      <w:pPr>
        <w:pStyle w:val="ListParagraph"/>
        <w:numPr>
          <w:ilvl w:val="0"/>
          <w:numId w:val="6"/>
        </w:numPr>
        <w:spacing w:after="80" w:line="276"/>
      </w:pPr>
      <w:r>
        <w:t xml:space="preserve">Chaque entraîneur qui accepte obtient l'accès, avec son équipe déjà configurée si l'association l'a saisie.</w:t>
      </w:r>
    </w:p>
    <w:p>
      <w:pPr>
        <w:pStyle w:val="ListParagraph"/>
        <w:numPr>
          <w:ilvl w:val="0"/>
          <w:numId w:val="6"/>
        </w:numPr>
        <w:spacing w:after="80" w:line="276"/>
      </w:pPr>
      <w:r>
        <w:t xml:space="preserve">Un entraîneur retiré perd l'accès ; le siège se libère.</w:t>
      </w:r>
    </w:p>
    <w:p>
      <w:pPr>
        <w:spacing w:after="40"/>
      </w:pPr>
    </w:p>
    <w:p>
      <w:pPr>
        <w:pStyle w:val="Heading3"/>
        <w:keepNext/>
        <w:spacing w:after="80" w:before="220"/>
      </w:pPr>
      <w:r>
        <w:rPr>
          <w:rFonts w:ascii="Calibri" w:cs="Calibri" w:eastAsia="Calibri" w:hAnsi="Calibri"/>
          <w:b/>
          <w:bCs/>
          <w:color w:val="BB6535"/>
          <w:sz w:val="23"/>
          <w:szCs w:val="23"/>
        </w:rPr>
        <w:t xml:space="preserve">7.5 Publier des pratiques</w:t>
      </w:r>
    </w:p>
    <w:p>
      <w:pPr>
        <w:pStyle w:val="ListParagraph"/>
        <w:numPr>
          <w:ilvl w:val="0"/>
          <w:numId w:val="7"/>
        </w:numPr>
        <w:spacing w:after="80" w:line="276"/>
      </w:pPr>
      <w:r>
        <w:t xml:space="preserve">MVP : le gestionnaire crée une fiche, téléverse le fichier, choisit les facettes, puis publie.</w:t>
      </w:r>
    </w:p>
    <w:p>
      <w:pPr>
        <w:pStyle w:val="ListParagraph"/>
        <w:numPr>
          <w:ilvl w:val="0"/>
          <w:numId w:val="7"/>
        </w:numPr>
        <w:spacing w:after="80" w:line="276"/>
      </w:pPr>
      <w:r>
        <w:t xml:space="preserve">Production : il dépose un lot de fichiers ; l'outil propose titre, résumé et facettes pour chacun ; le gestionnaire valide ou corrige en une trentaine de secondes par pratique.</w:t>
      </w:r>
    </w:p>
    <w:p>
      <w:pPr>
        <w:spacing w:after="40"/>
      </w:pPr>
    </w:p>
    <w:p>
      <w:pPr>
        <w:pStyle w:val="Heading3"/>
        <w:keepNext/>
        <w:spacing w:after="80" w:before="220"/>
      </w:pPr>
      <w:r>
        <w:rPr>
          <w:rFonts w:ascii="Calibri" w:cs="Calibri" w:eastAsia="Calibri" w:hAnsi="Calibri"/>
          <w:b/>
          <w:bCs/>
          <w:color w:val="BB6535"/>
          <w:sz w:val="23"/>
          <w:szCs w:val="23"/>
        </w:rPr>
        <w:t xml:space="preserve">7.6 Relevé des entraîneurs certifiés</w:t>
      </w:r>
    </w:p>
    <w:p>
      <w:pPr>
        <w:spacing w:after="120" w:line="288"/>
      </w:pPr>
      <w:r>
        <w:t xml:space="preserve">L'administrateur choisit une période et obtient, par entraîneur certifié, la liste des appels faits et des pratiques sur mesure livrées, exportable en CSV. Le relevé compte les actes ; le calcul de la rémunération se fait hors de l'application.</w:t>
      </w:r>
    </w:p>
    <w:p>
      <w:pPr>
        <w:pStyle w:val="Heading2"/>
        <w:keepNext/>
        <w:spacing w:after="120" w:before="320"/>
      </w:pPr>
      <w:r>
        <w:rPr>
          <w:rFonts w:ascii="Calibri" w:cs="Calibri" w:eastAsia="Calibri" w:hAnsi="Calibri"/>
          <w:b/>
          <w:bCs/>
          <w:color w:val="213146"/>
          <w:sz w:val="28"/>
          <w:szCs w:val="28"/>
        </w:rPr>
        <w:t xml:space="preserve">8. Paiement</w:t>
      </w:r>
    </w:p>
    <w:p>
      <w:pPr>
        <w:pStyle w:val="ListParagraph"/>
        <w:numPr>
          <w:ilvl w:val="0"/>
          <w:numId w:val="2"/>
        </w:numPr>
        <w:spacing w:after="80" w:line="276"/>
      </w:pPr>
      <w:r>
        <w:rPr>
          <w:b/>
          <w:bCs/>
        </w:rPr>
        <w:t xml:space="preserve">Stripe Checkout hébergé.</w:t>
      </w:r>
      <w:r>
        <w:t xml:space="preserve"> La carte est saisie chez Stripe, jamais dans l'application.</w:t>
      </w:r>
    </w:p>
    <w:p>
      <w:pPr>
        <w:pStyle w:val="ListParagraph"/>
        <w:numPr>
          <w:ilvl w:val="0"/>
          <w:numId w:val="2"/>
        </w:numPr>
        <w:spacing w:after="80" w:line="276"/>
      </w:pPr>
      <w:r>
        <w:rPr>
          <w:b/>
          <w:bCs/>
        </w:rPr>
        <w:t xml:space="preserve">Le webhook fait foi.</w:t>
      </w:r>
      <w:r>
        <w:t xml:space="preserve"> L'accès est accordé à la réception de l'événement de paiement confirmé, pas au retour du navigateur, qui peut ne jamais arriver.</w:t>
      </w:r>
    </w:p>
    <w:p>
      <w:pPr>
        <w:pStyle w:val="ListParagraph"/>
        <w:numPr>
          <w:ilvl w:val="0"/>
          <w:numId w:val="2"/>
        </w:numPr>
        <w:spacing w:after="80" w:line="276"/>
      </w:pPr>
      <w:r>
        <w:rPr>
          <w:b/>
          <w:bCs/>
        </w:rPr>
        <w:t xml:space="preserve">Un seul compte, branché par configuration.</w:t>
      </w:r>
      <w:r>
        <w:t xml:space="preserve"> Clés Stripe, raison sociale et numéros de TPS et de TVQ sont des paramètres. Le choix entre le Centre et l'Académie doit être fait avant la première vente d'abonnement, parce qu'un abonnement actif ne se transfère pas simplement d'un compte Stripe à un autre.</w:t>
      </w:r>
    </w:p>
    <w:p>
      <w:pPr>
        <w:pStyle w:val="ListParagraph"/>
        <w:numPr>
          <w:ilvl w:val="0"/>
          <w:numId w:val="2"/>
        </w:numPr>
        <w:spacing w:after="80" w:line="276"/>
      </w:pPr>
      <w:r>
        <w:rPr>
          <w:b/>
          <w:bCs/>
        </w:rPr>
        <w:t xml:space="preserve">Taxes.</w:t>
      </w:r>
      <w:r>
        <w:t xml:space="preserve"> TPS et TVQ calculées par ligne et conservées sur chaque achat. Taux en configuration, ou Stripe Tax si l'on préfère déléguer (à évaluer).</w:t>
      </w:r>
    </w:p>
    <w:p>
      <w:pPr>
        <w:pStyle w:val="ListParagraph"/>
        <w:numPr>
          <w:ilvl w:val="0"/>
          <w:numId w:val="2"/>
        </w:numPr>
        <w:spacing w:after="80" w:line="276"/>
      </w:pPr>
      <w:r>
        <w:rPr>
          <w:b/>
          <w:bCs/>
        </w:rPr>
        <w:t xml:space="preserve">Prix au MVP.</w:t>
      </w:r>
      <w:r>
        <w:t xml:space="preserve"> Les prix vivent dans l'application et sont envoyés à Stripe au moment du paiement ; rien à synchroniser. Les abonnements de la phase Production demanderont des prix créés dans Stripe.</w:t>
      </w:r>
    </w:p>
    <w:p>
      <w:pPr>
        <w:pStyle w:val="ListParagraph"/>
        <w:numPr>
          <w:ilvl w:val="0"/>
          <w:numId w:val="2"/>
        </w:numPr>
        <w:spacing w:after="80" w:line="276"/>
      </w:pPr>
      <w:r>
        <w:rPr>
          <w:b/>
          <w:bCs/>
        </w:rPr>
        <w:t xml:space="preserve">Remboursements au MVP.</w:t>
      </w:r>
      <w:r>
        <w:t xml:space="preserve"> Faits depuis le tableau de bord Stripe ; l'application reçoit l'événement et retire l'accès.</w:t>
      </w:r>
    </w:p>
    <w:p>
      <w:pPr>
        <w:pStyle w:val="ListParagraph"/>
        <w:numPr>
          <w:ilvl w:val="0"/>
          <w:numId w:val="2"/>
        </w:numPr>
        <w:spacing w:after="80" w:line="276"/>
      </w:pPr>
      <w:r>
        <w:rPr>
          <w:b/>
          <w:bCs/>
        </w:rPr>
        <w:t xml:space="preserve">Amilia</w:t>
      </w:r>
      <w:r>
        <w:t xml:space="preserve"> reste l'outil des plateaux physiques (cage, terrain, turf).</w:t>
      </w:r>
    </w:p>
    <w:p>
      <w:pPr>
        <w:spacing w:after="40"/>
      </w:pPr>
    </w:p>
    <w:p>
      <w:r>
        <w:br w:type="page"/>
      </w:r>
    </w:p>
    <w:p>
      <w:pPr>
        <w:pStyle w:val="Heading1"/>
        <w:pBdr>
          <w:bottom w:val="single" w:color="BB6535" w:sz="12" w:space="4"/>
        </w:pBdr>
        <w:spacing w:after="200" w:before="240"/>
      </w:pPr>
      <w:r>
        <w:rPr>
          <w:rFonts w:ascii="Calibri" w:cs="Calibri" w:eastAsia="Calibri" w:hAnsi="Calibri"/>
          <w:b/>
          <w:bCs/>
          <w:color w:val="213146"/>
          <w:sz w:val="36"/>
          <w:szCs w:val="36"/>
        </w:rPr>
        <w:t xml:space="preserve">Partie B — Technique</w:t>
      </w:r>
    </w:p>
    <w:p>
      <w:pPr>
        <w:pStyle w:val="Heading2"/>
        <w:keepNext/>
        <w:spacing w:after="120" w:before="320"/>
      </w:pPr>
      <w:r>
        <w:rPr>
          <w:rFonts w:ascii="Calibri" w:cs="Calibri" w:eastAsia="Calibri" w:hAnsi="Calibri"/>
          <w:b/>
          <w:bCs/>
          <w:color w:val="213146"/>
          <w:sz w:val="28"/>
          <w:szCs w:val="28"/>
        </w:rPr>
        <w:t xml:space="preserve">9. Impact sur le socle actuel</w:t>
      </w:r>
    </w:p>
    <w:p>
      <w:pPr>
        <w:spacing w:after="120" w:line="288"/>
      </w:pPr>
      <w:r>
        <w:t xml:space="preserve">Le socle (Node 22, Express, Sequelize, PostgreSQL, Angular 21, Firebase) reste la base. Ce qui change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741"/>
      </w:tblGrid>
      <w:tr>
        <w:trPr>
          <w:tblHeader/>
        </w:trPr>
        <w:tc>
          <w:tcPr>
            <w:tcW w:type="dxa" w:w="3619"/>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Élément actuel</w:t>
            </w:r>
          </w:p>
        </w:tc>
        <w:tc>
          <w:tcPr>
            <w:tcW w:type="dxa" w:w="5741"/>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Changement proposé</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Rôles </w:t>
            </w:r>
            <w:r>
              <w:rPr>
                <w:rFonts w:ascii="Consolas" w:cs="Consolas" w:eastAsia="Consolas" w:hAnsi="Consolas"/>
                <w:color w:val="1F2733"/>
                <w:sz w:val="17"/>
                <w:szCs w:val="17"/>
              </w:rPr>
              <w:t xml:space="preserve">admin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manager</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Rôles </w:t>
            </w:r>
            <w:r>
              <w:rPr>
                <w:rFonts w:ascii="Consolas" w:cs="Consolas" w:eastAsia="Consolas" w:hAnsi="Consolas"/>
                <w:color w:val="1F2733"/>
                <w:sz w:val="17"/>
                <w:szCs w:val="17"/>
              </w:rPr>
              <w:t xml:space="preserve">admin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gestionnaire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entraineur</w:t>
            </w:r>
            <w:r>
              <w:rPr>
                <w:rFonts w:ascii="Calibri" w:cs="Calibri" w:eastAsia="Calibri" w:hAnsi="Calibri"/>
                <w:color w:val="1F2733"/>
                <w:sz w:val="19"/>
                <w:szCs w:val="19"/>
              </w:rPr>
              <w:t xml:space="preserve">, plus un indicateur </w:t>
            </w:r>
            <w:r>
              <w:rPr>
                <w:rFonts w:ascii="Consolas" w:cs="Consolas" w:eastAsia="Consolas" w:hAnsi="Consolas"/>
                <w:color w:val="1F2733"/>
                <w:sz w:val="17"/>
                <w:szCs w:val="17"/>
              </w:rPr>
              <w:t xml:space="preserve">EstCertifie</w:t>
            </w:r>
            <w:r>
              <w:rPr>
                <w:rFonts w:ascii="Calibri" w:cs="Calibri" w:eastAsia="Calibri" w:hAnsi="Calibri"/>
                <w:color w:val="1F2733"/>
                <w:sz w:val="19"/>
                <w:szCs w:val="19"/>
              </w:rPr>
              <w:t xml:space="preserve"> sur </w:t>
            </w:r>
            <w:r>
              <w:rPr>
                <w:rFonts w:ascii="Consolas" w:cs="Consolas" w:eastAsia="Consolas" w:hAnsi="Consolas"/>
                <w:color w:val="1F2733"/>
                <w:sz w:val="17"/>
                <w:szCs w:val="17"/>
              </w:rPr>
              <w:t xml:space="preserve">Users</w:t>
            </w:r>
            <w:r>
              <w:rPr>
                <w:rFonts w:ascii="Calibri" w:cs="Calibri" w:eastAsia="Calibri" w:hAnsi="Calibri"/>
                <w:color w:val="1F2733"/>
                <w:sz w:val="19"/>
                <w:szCs w:val="19"/>
              </w:rPr>
              <w:t xml:space="preserve">. Un rôle unique par personne, l'indicateur permet à un gestionnaire d'être aussi entraîneur certifié.</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Première connexion : rôle </w:t>
            </w:r>
            <w:r>
              <w:rPr>
                <w:rFonts w:ascii="Consolas" w:cs="Consolas" w:eastAsia="Consolas" w:hAnsi="Consolas"/>
                <w:color w:val="1F2733"/>
                <w:sz w:val="17"/>
                <w:szCs w:val="17"/>
              </w:rPr>
              <w:t xml:space="preserve">user</w:t>
            </w:r>
            <w:r>
              <w:rPr>
                <w:rFonts w:ascii="Calibri" w:cs="Calibri" w:eastAsia="Calibri" w:hAnsi="Calibri"/>
                <w:color w:val="1F2733"/>
                <w:sz w:val="19"/>
                <w:szCs w:val="19"/>
              </w:rPr>
              <w:t xml:space="preserve">, page « Compte en attente »</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Rôle </w:t>
            </w:r>
            <w:r>
              <w:rPr>
                <w:rFonts w:ascii="Consolas" w:cs="Consolas" w:eastAsia="Consolas" w:hAnsi="Consolas"/>
                <w:color w:val="1F2733"/>
                <w:sz w:val="17"/>
                <w:szCs w:val="17"/>
              </w:rPr>
              <w:t xml:space="preserve">entraineur</w:t>
            </w:r>
            <w:r>
              <w:rPr>
                <w:rFonts w:ascii="Calibri" w:cs="Calibri" w:eastAsia="Calibri" w:hAnsi="Calibri"/>
                <w:color w:val="1F2733"/>
                <w:sz w:val="19"/>
                <w:szCs w:val="19"/>
              </w:rPr>
              <w:t xml:space="preserve"> d'emblée ; la page d'attente disparaît.</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Comptes créés par un administrateur</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Inscription libre (Firebase, courriel et mot de passe, vérification du courriel). La création par un administrateur reste pour le personnel.</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Toute l'application derrière </w:t>
            </w:r>
            <w:r>
              <w:rPr>
                <w:rFonts w:ascii="Consolas" w:cs="Consolas" w:eastAsia="Consolas" w:hAnsi="Consolas"/>
                <w:color w:val="1F2733"/>
                <w:sz w:val="17"/>
                <w:szCs w:val="17"/>
              </w:rPr>
              <w:t xml:space="preserve">authGuard</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Trois zones : publique (présentation, catalogue, fiches), entraîneur (« Mes pratiques », réservations, demandes), gestion (le shell actuel).</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Routes API protégées par défaut</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Quelques routes publiques en lecture (</w:t>
            </w:r>
            <w:r>
              <w:rPr>
                <w:rFonts w:ascii="Consolas" w:cs="Consolas" w:eastAsia="Consolas" w:hAnsi="Consolas"/>
                <w:color w:val="1F2733"/>
                <w:sz w:val="17"/>
                <w:szCs w:val="17"/>
              </w:rPr>
              <w:t xml:space="preserve">authRequired: false</w:t>
            </w:r>
            <w:r>
              <w:rPr>
                <w:rFonts w:ascii="Calibri" w:cs="Calibri" w:eastAsia="Calibri" w:hAnsi="Calibri"/>
                <w:color w:val="1F2733"/>
                <w:sz w:val="19"/>
                <w:szCs w:val="19"/>
              </w:rPr>
              <w:t xml:space="preserve">) : catalogue, fiches, listes de référence ; plus le webhook Stripe.</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express.json()</w:t>
            </w:r>
            <w:r>
              <w:rPr>
                <w:rFonts w:ascii="Calibri" w:cs="Calibri" w:eastAsia="Calibri" w:hAnsi="Calibri"/>
                <w:color w:val="1F2733"/>
                <w:sz w:val="19"/>
                <w:szCs w:val="19"/>
              </w:rPr>
              <w:t xml:space="preserve"> appliqué à tout</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Le webhook Stripe exige le corps brut pour vérifier la signature : monter </w:t>
            </w:r>
            <w:r>
              <w:rPr>
                <w:rFonts w:ascii="Consolas" w:cs="Consolas" w:eastAsia="Consolas" w:hAnsi="Consolas"/>
                <w:color w:val="1F2733"/>
                <w:sz w:val="17"/>
                <w:szCs w:val="17"/>
              </w:rPr>
              <w:t xml:space="preserve">express.raw</w:t>
            </w:r>
            <w:r>
              <w:rPr>
                <w:rFonts w:ascii="Calibri" w:cs="Calibri" w:eastAsia="Calibri" w:hAnsi="Calibri"/>
                <w:color w:val="1F2733"/>
                <w:sz w:val="19"/>
                <w:szCs w:val="19"/>
              </w:rPr>
              <w:t xml:space="preserve"> sur sa route avant </w:t>
            </w:r>
            <w:r>
              <w:rPr>
                <w:rFonts w:ascii="Consolas" w:cs="Consolas" w:eastAsia="Consolas" w:hAnsi="Consolas"/>
                <w:color w:val="1F2733"/>
                <w:sz w:val="17"/>
                <w:szCs w:val="17"/>
              </w:rPr>
              <w:t xml:space="preserve">express.json</w:t>
            </w:r>
            <w:r>
              <w:rPr>
                <w:rFonts w:ascii="Calibri" w:cs="Calibri" w:eastAsia="Calibri" w:hAnsi="Calibri"/>
                <w:color w:val="1F2733"/>
                <w:sz w:val="19"/>
                <w:szCs w:val="19"/>
              </w:rPr>
              <w:t xml:space="preserve">.</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CORS ouvert</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Restreint à l'adresse du frontend avant la production.</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Aucun stockage de fichiers</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Bucket privé compatible S3 (DigitalOcean Spaces), téléchargement par URL signée de courte durée.</w:t>
            </w:r>
          </w:p>
        </w:tc>
      </w:tr>
      <w:tr>
        <w:trPr>
          <w:cantSplit/>
        </w:trPr>
        <w:tc>
          <w:tcPr>
            <w:tcW w:type="dxa" w:w="361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Service account Firebase du projet </w:t>
            </w:r>
            <w:r>
              <w:rPr>
                <w:rFonts w:ascii="Consolas" w:cs="Consolas" w:eastAsia="Consolas" w:hAnsi="Consolas"/>
                <w:color w:val="1F2733"/>
                <w:sz w:val="17"/>
                <w:szCs w:val="17"/>
              </w:rPr>
              <w:t xml:space="preserve">centrebaseballpassionplus</w:t>
            </w:r>
          </w:p>
        </w:tc>
        <w:tc>
          <w:tcPr>
            <w:tcW w:type="dxa" w:w="574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Confirmer si le hub partage ce projet Firebase ou en a un propre, comme le prévoyait le socle.</w:t>
            </w:r>
          </w:p>
        </w:tc>
      </w:tr>
    </w:tbl>
    <w:p>
      <w:pPr>
        <w:spacing w:after="80"/>
      </w:pPr>
    </w:p>
    <w:p>
      <w:pPr>
        <w:spacing w:after="120" w:line="288"/>
      </w:pPr>
      <w:r>
        <w:t xml:space="preserve">Nouvelles variables, déclarées dans </w:t>
      </w:r>
      <w:r>
        <w:rPr>
          <w:rFonts w:ascii="Consolas" w:cs="Consolas" w:eastAsia="Consolas" w:hAnsi="Consolas"/>
          <w:color w:val="213146"/>
          <w:sz w:val="19"/>
          <w:szCs w:val="19"/>
        </w:rPr>
        <w:t xml:space="preserve">src/config/default.js</w:t>
      </w:r>
      <w:r>
        <w:t xml:space="preserve"> et </w:t>
      </w:r>
      <w:r>
        <w:rPr>
          <w:rFonts w:ascii="Consolas" w:cs="Consolas" w:eastAsia="Consolas" w:hAnsi="Consolas"/>
          <w:color w:val="213146"/>
          <w:sz w:val="19"/>
          <w:szCs w:val="19"/>
        </w:rPr>
        <w:t xml:space="preserve">.env.example</w:t>
      </w:r>
      <w:r>
        <w:t xml:space="preserve"> : </w:t>
      </w:r>
      <w:r>
        <w:rPr>
          <w:rFonts w:ascii="Consolas" w:cs="Consolas" w:eastAsia="Consolas" w:hAnsi="Consolas"/>
          <w:color w:val="213146"/>
          <w:sz w:val="19"/>
          <w:szCs w:val="19"/>
        </w:rPr>
        <w:t xml:space="preserve">STRIPE_SECRET_KEY</w:t>
      </w:r>
      <w:r>
        <w:t xml:space="preserve">, </w:t>
      </w:r>
      <w:r>
        <w:rPr>
          <w:rFonts w:ascii="Consolas" w:cs="Consolas" w:eastAsia="Consolas" w:hAnsi="Consolas"/>
          <w:color w:val="213146"/>
          <w:sz w:val="19"/>
          <w:szCs w:val="19"/>
        </w:rPr>
        <w:t xml:space="preserve">STRIPE_WEBHOOK_SECRET</w:t>
      </w:r>
      <w:r>
        <w:t xml:space="preserve">, </w:t>
      </w:r>
      <w:r>
        <w:rPr>
          <w:rFonts w:ascii="Consolas" w:cs="Consolas" w:eastAsia="Consolas" w:hAnsi="Consolas"/>
          <w:color w:val="213146"/>
          <w:sz w:val="19"/>
          <w:szCs w:val="19"/>
        </w:rPr>
        <w:t xml:space="preserve">MARCHAND_NOM</w:t>
      </w:r>
      <w:r>
        <w:t xml:space="preserve">, </w:t>
      </w:r>
      <w:r>
        <w:rPr>
          <w:rFonts w:ascii="Consolas" w:cs="Consolas" w:eastAsia="Consolas" w:hAnsi="Consolas"/>
          <w:color w:val="213146"/>
          <w:sz w:val="19"/>
          <w:szCs w:val="19"/>
        </w:rPr>
        <w:t xml:space="preserve">MARCHAND_NO_TPS</w:t>
      </w:r>
      <w:r>
        <w:t xml:space="preserve">, </w:t>
      </w:r>
      <w:r>
        <w:rPr>
          <w:rFonts w:ascii="Consolas" w:cs="Consolas" w:eastAsia="Consolas" w:hAnsi="Consolas"/>
          <w:color w:val="213146"/>
          <w:sz w:val="19"/>
          <w:szCs w:val="19"/>
        </w:rPr>
        <w:t xml:space="preserve">MARCHAND_NO_TVQ</w:t>
      </w:r>
      <w:r>
        <w:t xml:space="preserve">, </w:t>
      </w:r>
      <w:r>
        <w:rPr>
          <w:rFonts w:ascii="Consolas" w:cs="Consolas" w:eastAsia="Consolas" w:hAnsi="Consolas"/>
          <w:color w:val="213146"/>
          <w:sz w:val="19"/>
          <w:szCs w:val="19"/>
        </w:rPr>
        <w:t xml:space="preserve">TAUX_TPS</w:t>
      </w:r>
      <w:r>
        <w:t xml:space="preserve">, </w:t>
      </w:r>
      <w:r>
        <w:rPr>
          <w:rFonts w:ascii="Consolas" w:cs="Consolas" w:eastAsia="Consolas" w:hAnsi="Consolas"/>
          <w:color w:val="213146"/>
          <w:sz w:val="19"/>
          <w:szCs w:val="19"/>
        </w:rPr>
        <w:t xml:space="preserve">TAUX_TVQ</w:t>
      </w:r>
      <w:r>
        <w:t xml:space="preserve">, </w:t>
      </w:r>
      <w:r>
        <w:rPr>
          <w:rFonts w:ascii="Consolas" w:cs="Consolas" w:eastAsia="Consolas" w:hAnsi="Consolas"/>
          <w:color w:val="213146"/>
          <w:sz w:val="19"/>
          <w:szCs w:val="19"/>
        </w:rPr>
        <w:t xml:space="preserve">S3_ENDPOINT</w:t>
      </w:r>
      <w:r>
        <w:t xml:space="preserve">, </w:t>
      </w:r>
      <w:r>
        <w:rPr>
          <w:rFonts w:ascii="Consolas" w:cs="Consolas" w:eastAsia="Consolas" w:hAnsi="Consolas"/>
          <w:color w:val="213146"/>
          <w:sz w:val="19"/>
          <w:szCs w:val="19"/>
        </w:rPr>
        <w:t xml:space="preserve">S3_BUCKET</w:t>
      </w:r>
      <w:r>
        <w:t xml:space="preserve">, </w:t>
      </w:r>
      <w:r>
        <w:rPr>
          <w:rFonts w:ascii="Consolas" w:cs="Consolas" w:eastAsia="Consolas" w:hAnsi="Consolas"/>
          <w:color w:val="213146"/>
          <w:sz w:val="19"/>
          <w:szCs w:val="19"/>
        </w:rPr>
        <w:t xml:space="preserve">S3_ACCESS_KEY</w:t>
      </w:r>
      <w:r>
        <w:t xml:space="preserve">, </w:t>
      </w:r>
      <w:r>
        <w:rPr>
          <w:rFonts w:ascii="Consolas" w:cs="Consolas" w:eastAsia="Consolas" w:hAnsi="Consolas"/>
          <w:color w:val="213146"/>
          <w:sz w:val="19"/>
          <w:szCs w:val="19"/>
        </w:rPr>
        <w:t xml:space="preserve">S3_SECRET_KEY</w:t>
      </w:r>
      <w:r>
        <w:t xml:space="preserve">. En phase Production : identifiants de l'API Zoom et clé de l'API d'IA pour l'import.</w:t>
      </w:r>
    </w:p>
    <w:p>
      <w:pPr>
        <w:spacing w:after="120" w:line="288"/>
      </w:pPr>
      <w:r>
        <w:t xml:space="preserve">Nouveaux composants backend, un dossier par fonctionnalité dans </w:t>
      </w:r>
      <w:r>
        <w:rPr>
          <w:rFonts w:ascii="Consolas" w:cs="Consolas" w:eastAsia="Consolas" w:hAnsi="Consolas"/>
          <w:color w:val="213146"/>
          <w:sz w:val="19"/>
          <w:szCs w:val="19"/>
        </w:rPr>
        <w:t xml:space="preserve">src/components/</w:t>
      </w:r>
      <w:r>
        <w:t xml:space="preserve"> :</w:t>
      </w:r>
    </w:p>
    <w:p>
      <w:pPr>
        <w:pStyle w:val="ListParagraph"/>
        <w:numPr>
          <w:ilvl w:val="0"/>
          <w:numId w:val="2"/>
        </w:numPr>
        <w:spacing w:after="80" w:line="276"/>
      </w:pPr>
      <w:r>
        <w:rPr>
          <w:b/>
          <w:bCs/>
        </w:rPr>
        <w:t xml:space="preserve">MVP :</w:t>
      </w:r>
      <w:r>
        <w:t xml:space="preserve"> </w:t>
      </w:r>
      <w:r>
        <w:rPr>
          <w:rFonts w:ascii="Consolas" w:cs="Consolas" w:eastAsia="Consolas" w:hAnsi="Consolas"/>
          <w:color w:val="213146"/>
          <w:sz w:val="19"/>
          <w:szCs w:val="19"/>
        </w:rPr>
        <w:t xml:space="preserve">reference</w:t>
      </w:r>
      <w:r>
        <w:t xml:space="preserve">, </w:t>
      </w:r>
      <w:r>
        <w:rPr>
          <w:rFonts w:ascii="Consolas" w:cs="Consolas" w:eastAsia="Consolas" w:hAnsi="Consolas"/>
          <w:color w:val="213146"/>
          <w:sz w:val="19"/>
          <w:szCs w:val="19"/>
        </w:rPr>
        <w:t xml:space="preserve">pratique</w:t>
      </w:r>
      <w:r>
        <w:t xml:space="preserve">, </w:t>
      </w:r>
      <w:r>
        <w:rPr>
          <w:rFonts w:ascii="Consolas" w:cs="Consolas" w:eastAsia="Consolas" w:hAnsi="Consolas"/>
          <w:color w:val="213146"/>
          <w:sz w:val="19"/>
          <w:szCs w:val="19"/>
        </w:rPr>
        <w:t xml:space="preserve">fichier</w:t>
      </w:r>
      <w:r>
        <w:t xml:space="preserve">, </w:t>
      </w:r>
      <w:r>
        <w:rPr>
          <w:rFonts w:ascii="Consolas" w:cs="Consolas" w:eastAsia="Consolas" w:hAnsi="Consolas"/>
          <w:color w:val="213146"/>
          <w:sz w:val="19"/>
          <w:szCs w:val="19"/>
        </w:rPr>
        <w:t xml:space="preserve">equipe</w:t>
      </w:r>
      <w:r>
        <w:t xml:space="preserve">, </w:t>
      </w:r>
      <w:r>
        <w:rPr>
          <w:rFonts w:ascii="Consolas" w:cs="Consolas" w:eastAsia="Consolas" w:hAnsi="Consolas"/>
          <w:color w:val="213146"/>
          <w:sz w:val="19"/>
          <w:szCs w:val="19"/>
        </w:rPr>
        <w:t xml:space="preserve">produit</w:t>
      </w:r>
      <w:r>
        <w:t xml:space="preserve">, </w:t>
      </w:r>
      <w:r>
        <w:rPr>
          <w:rFonts w:ascii="Consolas" w:cs="Consolas" w:eastAsia="Consolas" w:hAnsi="Consolas"/>
          <w:color w:val="213146"/>
          <w:sz w:val="19"/>
          <w:szCs w:val="19"/>
        </w:rPr>
        <w:t xml:space="preserve">paiement</w:t>
      </w:r>
      <w:r>
        <w:t xml:space="preserve">, </w:t>
      </w:r>
      <w:r>
        <w:rPr>
          <w:rFonts w:ascii="Consolas" w:cs="Consolas" w:eastAsia="Consolas" w:hAnsi="Consolas"/>
          <w:color w:val="213146"/>
          <w:sz w:val="19"/>
          <w:szCs w:val="19"/>
        </w:rPr>
        <w:t xml:space="preserve">acces</w:t>
      </w:r>
      <w:r>
        <w:t xml:space="preserve">, </w:t>
      </w:r>
      <w:r>
        <w:rPr>
          <w:rFonts w:ascii="Consolas" w:cs="Consolas" w:eastAsia="Consolas" w:hAnsi="Consolas"/>
          <w:color w:val="213146"/>
          <w:sz w:val="19"/>
          <w:szCs w:val="19"/>
        </w:rPr>
        <w:t xml:space="preserve">disponibilite</w:t>
      </w:r>
      <w:r>
        <w:t xml:space="preserve">, </w:t>
      </w:r>
      <w:r>
        <w:rPr>
          <w:rFonts w:ascii="Consolas" w:cs="Consolas" w:eastAsia="Consolas" w:hAnsi="Consolas"/>
          <w:color w:val="213146"/>
          <w:sz w:val="19"/>
          <w:szCs w:val="19"/>
        </w:rPr>
        <w:t xml:space="preserve">reservation</w:t>
      </w:r>
      <w:r>
        <w:t xml:space="preserve">, </w:t>
      </w:r>
      <w:r>
        <w:rPr>
          <w:rFonts w:ascii="Consolas" w:cs="Consolas" w:eastAsia="Consolas" w:hAnsi="Consolas"/>
          <w:color w:val="213146"/>
          <w:sz w:val="19"/>
          <w:szCs w:val="19"/>
        </w:rPr>
        <w:t xml:space="preserve">demande</w:t>
      </w:r>
      <w:r>
        <w:t xml:space="preserve">, </w:t>
      </w:r>
      <w:r>
        <w:rPr>
          <w:rFonts w:ascii="Consolas" w:cs="Consolas" w:eastAsia="Consolas" w:hAnsi="Consolas"/>
          <w:color w:val="213146"/>
          <w:sz w:val="19"/>
          <w:szCs w:val="19"/>
        </w:rPr>
        <w:t xml:space="preserve">releve</w:t>
      </w:r>
      <w:r>
        <w:t xml:space="preserve">.</w:t>
      </w:r>
    </w:p>
    <w:p>
      <w:pPr>
        <w:pStyle w:val="ListParagraph"/>
        <w:numPr>
          <w:ilvl w:val="0"/>
          <w:numId w:val="2"/>
        </w:numPr>
        <w:spacing w:after="80" w:line="276"/>
      </w:pPr>
      <w:r>
        <w:rPr>
          <w:b/>
          <w:bCs/>
        </w:rPr>
        <w:t xml:space="preserve">Production :</w:t>
      </w:r>
      <w:r>
        <w:t xml:space="preserve"> </w:t>
      </w:r>
      <w:r>
        <w:rPr>
          <w:rFonts w:ascii="Consolas" w:cs="Consolas" w:eastAsia="Consolas" w:hAnsi="Consolas"/>
          <w:color w:val="213146"/>
          <w:sz w:val="19"/>
          <w:szCs w:val="19"/>
        </w:rPr>
        <w:t xml:space="preserve">organisation</w:t>
      </w:r>
      <w:r>
        <w:t xml:space="preserve">, </w:t>
      </w:r>
      <w:r>
        <w:rPr>
          <w:rFonts w:ascii="Consolas" w:cs="Consolas" w:eastAsia="Consolas" w:hAnsi="Consolas"/>
          <w:color w:val="213146"/>
          <w:sz w:val="19"/>
          <w:szCs w:val="19"/>
        </w:rPr>
        <w:t xml:space="preserve">abonnement</w:t>
      </w:r>
      <w:r>
        <w:t xml:space="preserve">, </w:t>
      </w:r>
      <w:r>
        <w:rPr>
          <w:rFonts w:ascii="Consolas" w:cs="Consolas" w:eastAsia="Consolas" w:hAnsi="Consolas"/>
          <w:color w:val="213146"/>
          <w:sz w:val="19"/>
          <w:szCs w:val="19"/>
        </w:rPr>
        <w:t xml:space="preserve">import</w:t>
      </w:r>
      <w:r>
        <w:t xml:space="preserve">.</w:t>
      </w:r>
    </w:p>
    <w:p>
      <w:pPr>
        <w:spacing w:after="40"/>
      </w:pPr>
    </w:p>
    <w:p>
      <w:pPr>
        <w:pStyle w:val="Heading2"/>
        <w:keepNext/>
        <w:spacing w:after="120" w:before="320"/>
      </w:pPr>
      <w:r>
        <w:rPr>
          <w:rFonts w:ascii="Calibri" w:cs="Calibri" w:eastAsia="Calibri" w:hAnsi="Calibri"/>
          <w:b/>
          <w:bCs/>
          <w:color w:val="213146"/>
          <w:sz w:val="28"/>
          <w:szCs w:val="28"/>
        </w:rPr>
        <w:t xml:space="preserve">10. Modèle de données</w:t>
      </w:r>
    </w:p>
    <w:p>
      <w:pPr>
        <w:spacing w:after="120" w:line="288"/>
      </w:pPr>
      <w:r>
        <w:t xml:space="preserve">Conventions du socle : tables au pluriel, colonnes en PascalCase, clé </w:t>
      </w:r>
      <w:r>
        <w:rPr>
          <w:rFonts w:ascii="Consolas" w:cs="Consolas" w:eastAsia="Consolas" w:hAnsi="Consolas"/>
          <w:color w:val="213146"/>
          <w:sz w:val="19"/>
          <w:szCs w:val="19"/>
        </w:rPr>
        <w:t xml:space="preserve">Id</w:t>
      </w:r>
      <w:r>
        <w:t xml:space="preserve"> entière, schéma par migrations seulement. Montants en cents (entiers). Dates en </w:t>
      </w:r>
      <w:r>
        <w:rPr>
          <w:rFonts w:ascii="Consolas" w:cs="Consolas" w:eastAsia="Consolas" w:hAnsi="Consolas"/>
          <w:color w:val="213146"/>
          <w:sz w:val="19"/>
          <w:szCs w:val="19"/>
        </w:rPr>
        <w:t xml:space="preserve">TIMESTAMPTZ</w:t>
      </w:r>
      <w:r>
        <w:t xml:space="preserve">, affichées à l'heure de Toronto. Les valeurs d'énumération sont en français, en minuscules.</w:t>
      </w:r>
    </w:p>
    <w:p>
      <w:pPr>
        <w:keepNext/>
        <w:spacing w:after="80" w:before="120"/>
        <w:jc w:val="center"/>
      </w:pPr>
      <w:r>
        <w:drawing>
          <wp:inline distT="0" distB="0" distL="0" distR="0">
            <wp:extent cx="5334000" cy="4876800"/>
            <wp:effectExtent t="0" r="0" b="0" l="0"/>
            <wp:docPr id="1" name="modele" descr="Tables du hub regroupées par domaine et leurs principales relations" title="Modèl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76800"/>
                    </a:xfrm>
                    <a:prstGeom prst="rect">
                      <a:avLst/>
                    </a:prstGeom>
                  </pic:spPr>
                </pic:pic>
              </a:graphicData>
            </a:graphic>
          </wp:inline>
        </w:drawing>
      </w:r>
    </w:p>
    <w:p>
      <w:pPr>
        <w:spacing w:after="120" w:line="288"/>
      </w:pPr>
      <w:r>
        <w:rPr>
          <w:i/>
          <w:iCs/>
          <w:color w:val="5B6573"/>
          <w:sz w:val="19"/>
          <w:szCs w:val="19"/>
        </w:rPr>
        <w:t xml:space="preserve">Une flèche A → B signifie que B fait référence à A. </w:t>
      </w:r>
      <w:r>
        <w:rPr>
          <w:rFonts w:ascii="Consolas" w:cs="Consolas" w:eastAsia="Consolas" w:hAnsi="Consolas"/>
          <w:i/>
          <w:iCs/>
          <w:color w:val="5B6573"/>
          <w:sz w:val="17"/>
          <w:szCs w:val="17"/>
        </w:rPr>
        <w:t xml:space="preserve">Users</w:t>
      </w:r>
      <w:r>
        <w:rPr>
          <w:i/>
          <w:iCs/>
          <w:color w:val="5B6573"/>
          <w:sz w:val="19"/>
          <w:szCs w:val="19"/>
        </w:rPr>
        <w:t xml:space="preserve"> est relié à presque toutes les tables ; ces liens sont omis pour la lisibilité. </w:t>
      </w:r>
      <w:r>
        <w:rPr>
          <w:rFonts w:ascii="Consolas" w:cs="Consolas" w:eastAsia="Consolas" w:hAnsi="Consolas"/>
          <w:i/>
          <w:iCs/>
          <w:color w:val="5B6573"/>
          <w:sz w:val="17"/>
          <w:szCs w:val="17"/>
        </w:rPr>
        <w:t xml:space="preserve">Acces</w:t>
      </w:r>
      <w:r>
        <w:rPr>
          <w:i/>
          <w:iCs/>
          <w:color w:val="5B6573"/>
          <w:sz w:val="19"/>
          <w:szCs w:val="19"/>
        </w:rPr>
        <w:t xml:space="preserve">, mis en évidence, est la table que le catalogue interroge pour décider de l'accès.</w:t>
      </w:r>
    </w:p>
    <w:p>
      <w:pPr>
        <w:pStyle w:val="Heading3"/>
        <w:keepNext/>
        <w:spacing w:after="80" w:before="220"/>
      </w:pPr>
      <w:r>
        <w:rPr>
          <w:rFonts w:ascii="Calibri" w:cs="Calibri" w:eastAsia="Calibri" w:hAnsi="Calibri"/>
          <w:b/>
          <w:bCs/>
          <w:color w:val="BB6535"/>
          <w:sz w:val="23"/>
          <w:szCs w:val="23"/>
        </w:rPr>
        <w:t xml:space="preserve">10.1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3880"/>
        <w:gridCol w:w="3384"/>
      </w:tblGrid>
      <w:tr>
        <w:trPr>
          <w:tblHeader/>
        </w:trPr>
        <w:tc>
          <w:tcPr>
            <w:tcW w:type="dxa" w:w="2096"/>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Table</w:t>
            </w:r>
          </w:p>
        </w:tc>
        <w:tc>
          <w:tcPr>
            <w:tcW w:type="dxa" w:w="3880"/>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Colonnes principales</w:t>
            </w:r>
          </w:p>
        </w:tc>
        <w:tc>
          <w:tcPr>
            <w:tcW w:type="dxa" w:w="338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Notes</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Categories</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Code</w:t>
            </w:r>
            <w:r>
              <w:rPr>
                <w:rFonts w:ascii="Calibri" w:cs="Calibri" w:eastAsia="Calibri" w:hAnsi="Calibri"/>
                <w:color w:val="1F2733"/>
                <w:sz w:val="19"/>
                <w:szCs w:val="19"/>
              </w:rPr>
              <w:t xml:space="preserve"> (9U…),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Ordre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Ordre</w:t>
            </w:r>
            <w:r>
              <w:rPr>
                <w:rFonts w:ascii="Calibri" w:cs="Calibri" w:eastAsia="Calibri" w:hAnsi="Calibri"/>
                <w:color w:val="1F2733"/>
                <w:sz w:val="19"/>
                <w:szCs w:val="19"/>
              </w:rPr>
              <w:t xml:space="preserve"> porte la logique des plages</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Calibres</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Code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Ordre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Récréatif, B, A, AA, AAA</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CategorieCalibres</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CategorieId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CalibreId</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Combinaisons valides</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Volets</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Ordre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Habiletes</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VoletId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Ordre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Lieux</w:t>
            </w:r>
          </w:p>
        </w:tc>
        <w:tc>
          <w:tcPr>
            <w:tcW w:type="dxa" w:w="388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Ordre</w:t>
            </w:r>
          </w:p>
        </w:tc>
        <w:tc>
          <w:tcPr>
            <w:tcW w:type="dxa" w:w="33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Terrain, gymnase, cage</w:t>
            </w:r>
          </w:p>
        </w:tc>
      </w:tr>
    </w:tbl>
    <w:p>
      <w:pPr>
        <w:spacing w:after="80"/>
      </w:pPr>
    </w:p>
    <w:p>
      <w:pPr>
        <w:pStyle w:val="Heading3"/>
        <w:keepNext/>
        <w:spacing w:after="80" w:before="220"/>
      </w:pPr>
      <w:r>
        <w:rPr>
          <w:rFonts w:ascii="Calibri" w:cs="Calibri" w:eastAsia="Calibri" w:hAnsi="Calibri"/>
          <w:b/>
          <w:bCs/>
          <w:color w:val="BB6535"/>
          <w:sz w:val="23"/>
          <w:szCs w:val="23"/>
        </w:rPr>
        <w:t xml:space="preserve">10.2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4218"/>
        <w:gridCol w:w="3046"/>
      </w:tblGrid>
      <w:tr>
        <w:trPr>
          <w:tblHeader/>
        </w:trPr>
        <w:tc>
          <w:tcPr>
            <w:tcW w:type="dxa" w:w="2096"/>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Table</w:t>
            </w:r>
          </w:p>
        </w:tc>
        <w:tc>
          <w:tcPr>
            <w:tcW w:type="dxa" w:w="4218"/>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Colonnes principales</w:t>
            </w:r>
          </w:p>
        </w:tc>
        <w:tc>
          <w:tcPr>
            <w:tcW w:type="dxa" w:w="3046"/>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Notes</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Pratiques</w:t>
            </w:r>
          </w:p>
        </w:tc>
        <w:tc>
          <w:tcPr>
            <w:tcW w:type="dxa" w:w="421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Titre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Resume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Type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Visibilite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catalogue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privee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brouillon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publiee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archivee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EstGratuite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CategorieMinId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CategorieMaxId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CalibreMinId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CalibreMaxId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DureeMinutes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JoueursMin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JoueursMax</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Materiel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MotsCles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Source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VideoUrl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AuteurId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PublieeLe</w:t>
            </w:r>
          </w:p>
        </w:tc>
        <w:tc>
          <w:tcPr>
            <w:tcW w:type="dxa" w:w="304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Une pratique sur mesure livrée est </w:t>
            </w:r>
            <w:r>
              <w:rPr>
                <w:rFonts w:ascii="Consolas" w:cs="Consolas" w:eastAsia="Consolas" w:hAnsi="Consolas"/>
                <w:color w:val="1F2733"/>
                <w:sz w:val="17"/>
                <w:szCs w:val="17"/>
              </w:rPr>
              <w:t xml:space="preserve">privee</w:t>
            </w:r>
            <w:r>
              <w:rPr>
                <w:rFonts w:ascii="Calibri" w:cs="Calibri" w:eastAsia="Calibri" w:hAnsi="Calibri"/>
                <w:color w:val="1F2733"/>
                <w:sz w:val="19"/>
                <w:szCs w:val="19"/>
              </w:rPr>
              <w:t xml:space="preserve"> : jamais dans le catalogue</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PratiqueVolets</w:t>
            </w:r>
          </w:p>
        </w:tc>
        <w:tc>
          <w:tcPr>
            <w:tcW w:type="dxa" w:w="421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VoletId</w:t>
            </w:r>
          </w:p>
        </w:tc>
        <w:tc>
          <w:tcPr>
            <w:tcW w:type="dxa" w:w="304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Au moins un</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PratiqueHabiletes</w:t>
            </w:r>
          </w:p>
        </w:tc>
        <w:tc>
          <w:tcPr>
            <w:tcW w:type="dxa" w:w="421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HabileteId</w:t>
            </w:r>
          </w:p>
        </w:tc>
        <w:tc>
          <w:tcPr>
            <w:tcW w:type="dxa" w:w="304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L'habileté doit appartenir à un volet choisi</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PratiqueLieux</w:t>
            </w:r>
          </w:p>
        </w:tc>
        <w:tc>
          <w:tcPr>
            <w:tcW w:type="dxa" w:w="421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LieuId</w:t>
            </w:r>
          </w:p>
        </w:tc>
        <w:tc>
          <w:tcPr>
            <w:tcW w:type="dxa" w:w="304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Fichiers</w:t>
            </w:r>
          </w:p>
        </w:tc>
        <w:tc>
          <w:tcPr>
            <w:tcW w:type="dxa" w:w="4218"/>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Cle</w:t>
            </w:r>
            <w:r>
              <w:rPr>
                <w:rFonts w:ascii="Calibri" w:cs="Calibri" w:eastAsia="Calibri" w:hAnsi="Calibri"/>
                <w:color w:val="1F2733"/>
                <w:sz w:val="19"/>
                <w:szCs w:val="19"/>
              </w:rPr>
              <w:t xml:space="preserve"> (chemin dans le bucket), </w:t>
            </w:r>
            <w:r>
              <w:rPr>
                <w:rFonts w:ascii="Consolas" w:cs="Consolas" w:eastAsia="Consolas" w:hAnsi="Consolas"/>
                <w:color w:val="1F2733"/>
                <w:sz w:val="17"/>
                <w:szCs w:val="17"/>
              </w:rPr>
              <w:t xml:space="preserve">NomOriginal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TypeMime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Taille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EstApercu</w:t>
            </w:r>
          </w:p>
        </w:tc>
        <w:tc>
          <w:tcPr>
            <w:tcW w:type="dxa" w:w="304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L'aperçu est public, le fichier complet ne l'est jamais</w:t>
            </w:r>
          </w:p>
        </w:tc>
      </w:tr>
    </w:tbl>
    <w:p>
      <w:pPr>
        <w:spacing w:after="80"/>
      </w:pPr>
    </w:p>
    <w:p>
      <w:pPr>
        <w:spacing w:after="120" w:line="288"/>
      </w:pPr>
      <w:r>
        <w:t xml:space="preserve">Requête de base d'un filtre par catégorie : la pratique sort si </w:t>
      </w:r>
      <w:r>
        <w:rPr>
          <w:rFonts w:ascii="Consolas" w:cs="Consolas" w:eastAsia="Consolas" w:hAnsi="Consolas"/>
          <w:color w:val="213146"/>
          <w:sz w:val="19"/>
          <w:szCs w:val="19"/>
        </w:rPr>
        <w:t xml:space="preserve">CategorieMin.Ordre &lt;= :ordre &lt;= CategorieMax.Ordre</w:t>
      </w:r>
      <w:r>
        <w:t xml:space="preserve">. Même logique pour le calibre.</w:t>
      </w:r>
    </w:p>
    <w:p>
      <w:pPr>
        <w:pStyle w:val="Heading3"/>
        <w:keepNext/>
        <w:spacing w:after="80" w:before="220"/>
      </w:pPr>
      <w:r>
        <w:rPr>
          <w:rFonts w:ascii="Calibri" w:cs="Calibri" w:eastAsia="Calibri" w:hAnsi="Calibri"/>
          <w:b/>
          <w:bCs/>
          <w:color w:val="BB6535"/>
          <w:sz w:val="23"/>
          <w:szCs w:val="23"/>
        </w:rPr>
        <w:t xml:space="preserve">10.3 Comptes et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1"/>
        <w:gridCol w:w="3786"/>
        <w:gridCol w:w="3203"/>
      </w:tblGrid>
      <w:tr>
        <w:trPr>
          <w:tblHeader/>
        </w:trPr>
        <w:tc>
          <w:tcPr>
            <w:tcW w:type="dxa" w:w="2371"/>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Table</w:t>
            </w:r>
          </w:p>
        </w:tc>
        <w:tc>
          <w:tcPr>
            <w:tcW w:type="dxa" w:w="3786"/>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Colonnes principales</w:t>
            </w:r>
          </w:p>
        </w:tc>
        <w:tc>
          <w:tcPr>
            <w:tcW w:type="dxa" w:w="3203"/>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Notes</w:t>
            </w:r>
          </w:p>
        </w:tc>
      </w:tr>
      <w:tr>
        <w:trPr>
          <w:cantSplit/>
        </w:trPr>
        <w:tc>
          <w:tcPr>
            <w:tcW w:type="dxa" w:w="237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Users</w:t>
            </w:r>
            <w:r>
              <w:rPr>
                <w:rFonts w:ascii="Calibri" w:cs="Calibri" w:eastAsia="Calibri" w:hAnsi="Calibri"/>
                <w:color w:val="1F2733"/>
                <w:sz w:val="19"/>
                <w:szCs w:val="19"/>
              </w:rPr>
              <w:t xml:space="preserve"> (existante)</w:t>
            </w:r>
          </w:p>
        </w:tc>
        <w:tc>
          <w:tcPr>
            <w:tcW w:type="dxa" w:w="378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ajout de </w:t>
            </w:r>
            <w:r>
              <w:rPr>
                <w:rFonts w:ascii="Consolas" w:cs="Consolas" w:eastAsia="Consolas" w:hAnsi="Consolas"/>
                <w:color w:val="1F2733"/>
                <w:sz w:val="17"/>
                <w:szCs w:val="17"/>
              </w:rPr>
              <w:t xml:space="preserve">EstCertifie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ConsentementLe</w:t>
            </w:r>
          </w:p>
        </w:tc>
        <w:tc>
          <w:tcPr>
            <w:tcW w:type="dxa" w:w="320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Role</w:t>
            </w:r>
            <w:r>
              <w:rPr>
                <w:rFonts w:ascii="Calibri" w:cs="Calibri" w:eastAsia="Calibri" w:hAnsi="Calibri"/>
                <w:color w:val="1F2733"/>
                <w:sz w:val="19"/>
                <w:szCs w:val="19"/>
              </w:rPr>
              <w:t xml:space="preserve"> passe à </w:t>
            </w:r>
            <w:r>
              <w:rPr>
                <w:rFonts w:ascii="Consolas" w:cs="Consolas" w:eastAsia="Consolas" w:hAnsi="Consolas"/>
                <w:color w:val="1F2733"/>
                <w:sz w:val="17"/>
                <w:szCs w:val="17"/>
              </w:rPr>
              <w:t xml:space="preserve">admin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gestionnaire</w:t>
            </w:r>
            <w:r>
              <w:rPr>
                <w:rFonts w:ascii="Calibri" w:cs="Calibri" w:eastAsia="Calibri" w:hAnsi="Calibri"/>
                <w:color w:val="1F2733"/>
                <w:sz w:val="19"/>
                <w:szCs w:val="19"/>
              </w:rPr>
              <w:t xml:space="preserve"> ou </w:t>
            </w:r>
            <w:r>
              <w:rPr>
                <w:rFonts w:ascii="Consolas" w:cs="Consolas" w:eastAsia="Consolas" w:hAnsi="Consolas"/>
                <w:color w:val="1F2733"/>
                <w:sz w:val="17"/>
                <w:szCs w:val="17"/>
              </w:rPr>
              <w:t xml:space="preserve">entraineur</w:t>
            </w:r>
          </w:p>
        </w:tc>
      </w:tr>
      <w:tr>
        <w:trPr>
          <w:cantSplit/>
        </w:trPr>
        <w:tc>
          <w:tcPr>
            <w:tcW w:type="dxa" w:w="237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Equipes</w:t>
            </w:r>
          </w:p>
        </w:tc>
        <w:tc>
          <w:tcPr>
            <w:tcW w:type="dxa" w:w="378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OrganisationId</w:t>
            </w:r>
            <w:r>
              <w:rPr>
                <w:rFonts w:ascii="Calibri" w:cs="Calibri" w:eastAsia="Calibri" w:hAnsi="Calibri"/>
                <w:color w:val="1F2733"/>
                <w:sz w:val="19"/>
                <w:szCs w:val="19"/>
              </w:rPr>
              <w:t xml:space="preserve"> (rempli en phase Production),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CategorieId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CalibreId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Saison</w:t>
            </w:r>
          </w:p>
        </w:tc>
        <w:tc>
          <w:tcPr>
            <w:tcW w:type="dxa" w:w="320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 entraîneur peut avoir plusieurs équipes ; la première sert de filtre par défaut</w:t>
            </w:r>
          </w:p>
        </w:tc>
      </w:tr>
      <w:tr>
        <w:trPr>
          <w:cantSplit/>
        </w:trPr>
        <w:tc>
          <w:tcPr>
            <w:tcW w:type="dxa" w:w="237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Organisations</w:t>
            </w:r>
            <w:r>
              <w:rPr>
                <w:rFonts w:ascii="Calibri" w:cs="Calibri" w:eastAsia="Calibri" w:hAnsi="Calibri"/>
                <w:color w:val="1F2733"/>
                <w:sz w:val="19"/>
                <w:szCs w:val="19"/>
              </w:rPr>
              <w:t xml:space="preserve"> (Production)</w:t>
            </w:r>
          </w:p>
        </w:tc>
        <w:tc>
          <w:tcPr>
            <w:tcW w:type="dxa" w:w="378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CourrielContact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StripeCustomerId</w:t>
            </w:r>
          </w:p>
        </w:tc>
        <w:tc>
          <w:tcPr>
            <w:tcW w:type="dxa" w:w="320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37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OrganisationMembres</w:t>
            </w:r>
            <w:r>
              <w:rPr>
                <w:rFonts w:ascii="Calibri" w:cs="Calibri" w:eastAsia="Calibri" w:hAnsi="Calibri"/>
                <w:color w:val="1F2733"/>
                <w:sz w:val="19"/>
                <w:szCs w:val="19"/>
              </w:rPr>
              <w:t xml:space="preserve"> (Production)</w:t>
            </w:r>
          </w:p>
        </w:tc>
        <w:tc>
          <w:tcPr>
            <w:tcW w:type="dxa" w:w="378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OrganisationId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Email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Role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responsable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membre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invite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retire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InviteLe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AccepteLe</w:t>
            </w:r>
          </w:p>
        </w:tc>
        <w:tc>
          <w:tcPr>
            <w:tcW w:type="dxa" w:w="3203"/>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reste vide tant que l'invitation n'est pas acceptée</w:t>
            </w:r>
          </w:p>
        </w:tc>
      </w:tr>
    </w:tbl>
    <w:p>
      <w:pPr>
        <w:spacing w:after="80"/>
      </w:pPr>
    </w:p>
    <w:p>
      <w:pPr>
        <w:pStyle w:val="Heading3"/>
        <w:keepNext/>
        <w:spacing w:after="80" w:before="220"/>
      </w:pPr>
      <w:r>
        <w:rPr>
          <w:rFonts w:ascii="Calibri" w:cs="Calibri" w:eastAsia="Calibri" w:hAnsi="Calibri"/>
          <w:b/>
          <w:bCs/>
          <w:color w:val="BB6535"/>
          <w:sz w:val="23"/>
          <w:szCs w:val="23"/>
        </w:rPr>
        <w:t xml:space="preserve">10.4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2"/>
        <w:gridCol w:w="4561"/>
        <w:gridCol w:w="2777"/>
      </w:tblGrid>
      <w:tr>
        <w:trPr>
          <w:tblHeader/>
        </w:trPr>
        <w:tc>
          <w:tcPr>
            <w:tcW w:type="dxa" w:w="2022"/>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Table</w:t>
            </w:r>
          </w:p>
        </w:tc>
        <w:tc>
          <w:tcPr>
            <w:tcW w:type="dxa" w:w="4561"/>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Colonnes principales</w:t>
            </w:r>
          </w:p>
        </w:tc>
        <w:tc>
          <w:tcPr>
            <w:tcW w:type="dxa" w:w="2777"/>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Notes</w:t>
            </w: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Produits</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Type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zoom_individuel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sur_mesure</w:t>
            </w:r>
            <w:r>
              <w:rPr>
                <w:rFonts w:ascii="Calibri" w:cs="Calibri" w:eastAsia="Calibri" w:hAnsi="Calibri"/>
                <w:color w:val="1F2733"/>
                <w:sz w:val="19"/>
                <w:szCs w:val="19"/>
              </w:rPr>
              <w:t xml:space="preserve"> ; puis </w:t>
            </w:r>
            <w:r>
              <w:rPr>
                <w:rFonts w:ascii="Consolas" w:cs="Consolas" w:eastAsia="Consolas" w:hAnsi="Consolas"/>
                <w:color w:val="1F2733"/>
                <w:sz w:val="17"/>
                <w:szCs w:val="17"/>
              </w:rPr>
              <w:t xml:space="preserve">combo</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zoom_groupe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abonnement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licence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Description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PrixCents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DureeMinutes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Periodicite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StripePriceId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Actif</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StripePriceId</w:t>
            </w:r>
            <w:r>
              <w:rPr>
                <w:rFonts w:ascii="Calibri" w:cs="Calibri" w:eastAsia="Calibri" w:hAnsi="Calibri"/>
                <w:color w:val="1F2733"/>
                <w:sz w:val="19"/>
                <w:szCs w:val="19"/>
              </w:rPr>
              <w:t xml:space="preserve"> seulement pour les abonnements</w:t>
            </w: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ProduitPratiques</w:t>
            </w:r>
            <w:r>
              <w:rPr>
                <w:rFonts w:ascii="Calibri" w:cs="Calibri" w:eastAsia="Calibri" w:hAnsi="Calibri"/>
                <w:color w:val="1F2733"/>
                <w:sz w:val="19"/>
                <w:szCs w:val="19"/>
              </w:rPr>
              <w:t xml:space="preserve"> (Production)</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ProduitId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PratiqueId</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Contenu d'un combo</w:t>
            </w: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Achats</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OrganisationId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ProduitId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Quantite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MontantCents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TpsCents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TvqCents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en_attente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paye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rembourse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echoue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expire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StripeSessionId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StripePaymentIntentId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PayeLe</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Une ligne par session Stripe</w:t>
            </w: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Abonnements</w:t>
            </w:r>
            <w:r>
              <w:rPr>
                <w:rFonts w:ascii="Calibri" w:cs="Calibri" w:eastAsia="Calibri" w:hAnsi="Calibri"/>
                <w:color w:val="1F2733"/>
                <w:sz w:val="19"/>
                <w:szCs w:val="19"/>
              </w:rPr>
              <w:t xml:space="preserve"> (Production)</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OrganisationId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ProduitId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StripeSubscriptionId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PeriodeDebut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PeriodeFin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Sieges</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Acces</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Portee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catalogue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Source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achat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abonnement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licence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sur_mesure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admin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AchatId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AbonnementId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OrganisationId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DebutLe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FinLe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RevoqueLe</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La seule table que le catalogue interroge pour décider</w:t>
            </w:r>
          </w:p>
        </w:tc>
      </w:tr>
      <w:tr>
        <w:trPr>
          <w:cantSplit/>
        </w:trPr>
        <w:tc>
          <w:tcPr>
            <w:tcW w:type="dxa" w:w="202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StripeEvenements</w:t>
            </w:r>
          </w:p>
        </w:tc>
        <w:tc>
          <w:tcPr>
            <w:tcW w:type="dxa" w:w="456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(identifiant Stripe de l'événement), </w:t>
            </w:r>
            <w:r>
              <w:rPr>
                <w:rFonts w:ascii="Consolas" w:cs="Consolas" w:eastAsia="Consolas" w:hAnsi="Consolas"/>
                <w:color w:val="1F2733"/>
                <w:sz w:val="17"/>
                <w:szCs w:val="17"/>
              </w:rPr>
              <w:t xml:space="preserve">Type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RecuLe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TraiteLe</w:t>
            </w:r>
          </w:p>
        </w:tc>
        <w:tc>
          <w:tcPr>
            <w:tcW w:type="dxa" w:w="2777"/>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Idempotence : un événement reçu deux fois n'est traité qu'une fois</w:t>
            </w:r>
          </w:p>
        </w:tc>
      </w:tr>
    </w:tbl>
    <w:p>
      <w:pPr>
        <w:spacing w:after="80"/>
      </w:pPr>
    </w:p>
    <w:p>
      <w:pPr>
        <w:spacing w:after="120" w:line="288"/>
      </w:pPr>
      <w:r>
        <w:t xml:space="preserve">Règle d'accès, en une seule fonction de service :</w:t>
      </w:r>
    </w:p>
    <w:p>
      <w:pPr>
        <w:pStyle w:val="ListParagraph"/>
        <w:numPr>
          <w:ilvl w:val="0"/>
          <w:numId w:val="2"/>
        </w:numPr>
        <w:spacing w:after="80" w:line="276"/>
      </w:pPr>
      <w:r>
        <w:t xml:space="preserve">Administrateur et gestionnaire : tout.</w:t>
      </w:r>
    </w:p>
    <w:p>
      <w:pPr>
        <w:pStyle w:val="ListParagraph"/>
        <w:numPr>
          <w:ilvl w:val="0"/>
          <w:numId w:val="2"/>
        </w:numPr>
        <w:spacing w:after="80" w:line="276"/>
      </w:pPr>
      <w:r>
        <w:t xml:space="preserve">Pratique gratuite et publiée : tout compte connecté.</w:t>
      </w:r>
    </w:p>
    <w:p>
      <w:pPr>
        <w:pStyle w:val="ListParagraph"/>
        <w:numPr>
          <w:ilvl w:val="0"/>
          <w:numId w:val="2"/>
        </w:numPr>
        <w:spacing w:after="80" w:line="276"/>
      </w:pPr>
      <w:r>
        <w:t xml:space="preserve">Sinon : un </w:t>
      </w:r>
      <w:r>
        <w:rPr>
          <w:rFonts w:ascii="Consolas" w:cs="Consolas" w:eastAsia="Consolas" w:hAnsi="Consolas"/>
          <w:color w:val="213146"/>
          <w:sz w:val="19"/>
          <w:szCs w:val="19"/>
        </w:rPr>
        <w:t xml:space="preserve">Acces</w:t>
      </w:r>
      <w:r>
        <w:t xml:space="preserve"> non révoqué, commencé et non échu, dont la portée est </w:t>
      </w:r>
      <w:r>
        <w:rPr>
          <w:rFonts w:ascii="Consolas" w:cs="Consolas" w:eastAsia="Consolas" w:hAnsi="Consolas"/>
          <w:color w:val="213146"/>
          <w:sz w:val="19"/>
          <w:szCs w:val="19"/>
        </w:rPr>
        <w:t xml:space="preserve">catalogue</w:t>
      </w:r>
      <w:r>
        <w:t xml:space="preserve"> ou dont </w:t>
      </w:r>
      <w:r>
        <w:rPr>
          <w:rFonts w:ascii="Consolas" w:cs="Consolas" w:eastAsia="Consolas" w:hAnsi="Consolas"/>
          <w:color w:val="213146"/>
          <w:sz w:val="19"/>
          <w:szCs w:val="19"/>
        </w:rPr>
        <w:t xml:space="preserve">PratiqueId</w:t>
      </w:r>
      <w:r>
        <w:t xml:space="preserve"> est la pratique.</w:t>
      </w:r>
    </w:p>
    <w:p>
      <w:pPr>
        <w:spacing w:after="40"/>
      </w:pPr>
    </w:p>
    <w:p>
      <w:pPr>
        <w:spacing w:after="120" w:line="288"/>
      </w:pPr>
      <w:r>
        <w:t xml:space="preserve">Une licence d'association crée une ligne </w:t>
      </w:r>
      <w:r>
        <w:rPr>
          <w:rFonts w:ascii="Consolas" w:cs="Consolas" w:eastAsia="Consolas" w:hAnsi="Consolas"/>
          <w:color w:val="213146"/>
          <w:sz w:val="19"/>
          <w:szCs w:val="19"/>
        </w:rPr>
        <w:t xml:space="preserve">Acces</w:t>
      </w:r>
      <w:r>
        <w:t xml:space="preserve"> par membre actif, et la révoque quand le membre est retiré. Achat, abonnement et licence aboutissent donc tous au même contrôle.</w:t>
      </w:r>
    </w:p>
    <w:p>
      <w:pPr>
        <w:pStyle w:val="Heading3"/>
        <w:keepNext/>
        <w:spacing w:after="80" w:before="220"/>
      </w:pPr>
      <w:r>
        <w:rPr>
          <w:rFonts w:ascii="Calibri" w:cs="Calibri" w:eastAsia="Calibri" w:hAnsi="Calibri"/>
          <w:b/>
          <w:bCs/>
          <w:color w:val="BB6535"/>
          <w:sz w:val="23"/>
          <w:szCs w:val="23"/>
        </w:rPr>
        <w:t xml:space="preserve">10.5 Zoom et pratiques sur mesure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4750"/>
        <w:gridCol w:w="2514"/>
      </w:tblGrid>
      <w:tr>
        <w:trPr>
          <w:tblHeader/>
        </w:trPr>
        <w:tc>
          <w:tcPr>
            <w:tcW w:type="dxa" w:w="2096"/>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Table</w:t>
            </w:r>
          </w:p>
        </w:tc>
        <w:tc>
          <w:tcPr>
            <w:tcW w:type="dxa" w:w="4750"/>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Colonnes principales</w:t>
            </w:r>
          </w:p>
        </w:tc>
        <w:tc>
          <w:tcPr>
            <w:tcW w:type="dxa" w:w="251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Notes</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Disponibilites</w:t>
            </w:r>
          </w:p>
        </w:tc>
        <w:tc>
          <w:tcPr>
            <w:tcW w:type="dxa" w:w="475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CertifieId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DebutLe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FinLe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Format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individuel</w:t>
            </w:r>
            <w:r>
              <w:rPr>
                <w:rFonts w:ascii="Calibri" w:cs="Calibri" w:eastAsia="Calibri" w:hAnsi="Calibri"/>
                <w:color w:val="1F2733"/>
                <w:sz w:val="19"/>
                <w:szCs w:val="19"/>
              </w:rPr>
              <w:t xml:space="preserve"> ; puis </w:t>
            </w:r>
            <w:r>
              <w:rPr>
                <w:rFonts w:ascii="Consolas" w:cs="Consolas" w:eastAsia="Consolas" w:hAnsi="Consolas"/>
                <w:color w:val="1F2733"/>
                <w:sz w:val="17"/>
                <w:szCs w:val="17"/>
              </w:rPr>
              <w:t xml:space="preserve">groupe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semi_prive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Capacite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ProduitId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LienZoom</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ouverte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complete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annulee</w:t>
            </w:r>
            <w:r>
              <w:rPr>
                <w:rFonts w:ascii="Calibri" w:cs="Calibri" w:eastAsia="Calibri" w:hAnsi="Calibri"/>
                <w:color w:val="1F2733"/>
                <w:sz w:val="19"/>
                <w:szCs w:val="19"/>
              </w:rPr>
              <w:t xml:space="preserve">)</w:t>
            </w:r>
          </w:p>
        </w:tc>
        <w:tc>
          <w:tcPr>
            <w:tcW w:type="dxa" w:w="25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Créneaux concrets, sans récurrence au MVP</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Reservations</w:t>
            </w:r>
          </w:p>
        </w:tc>
        <w:tc>
          <w:tcPr>
            <w:tcW w:type="dxa" w:w="475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DisponibiliteId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AchatId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en_attente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reservee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faite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annulee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absent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Question</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ExpireLe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NoteCertifie</w:t>
            </w:r>
          </w:p>
        </w:tc>
        <w:tc>
          <w:tcPr>
            <w:tcW w:type="dxa" w:w="25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en_attente</w:t>
            </w:r>
            <w:r>
              <w:rPr>
                <w:rFonts w:ascii="Calibri" w:cs="Calibri" w:eastAsia="Calibri" w:hAnsi="Calibri"/>
                <w:color w:val="1F2733"/>
                <w:sz w:val="19"/>
                <w:szCs w:val="19"/>
              </w:rPr>
              <w:t xml:space="preserve"> bloque la place pendant le paiement, jusqu'à </w:t>
            </w:r>
            <w:r>
              <w:rPr>
                <w:rFonts w:ascii="Consolas" w:cs="Consolas" w:eastAsia="Consolas" w:hAnsi="Consolas"/>
                <w:color w:val="1F2733"/>
                <w:sz w:val="17"/>
                <w:szCs w:val="17"/>
              </w:rPr>
              <w:t xml:space="preserve">ExpireLe</w:t>
            </w: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DemandesSurMesure</w:t>
            </w:r>
          </w:p>
        </w:tc>
        <w:tc>
          <w:tcPr>
            <w:tcW w:type="dxa" w:w="475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UserId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EquipeId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CategorieId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CalibreId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Objectif</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JoueursNombre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DureeMinutes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LieuId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Materiel</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Contraintes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DateSouhaitee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Statut</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soumise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payee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en_cours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livree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fermee</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CertifieId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AchatId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PratiqueLivreeId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LivreeLe</w:t>
            </w:r>
          </w:p>
        </w:tc>
        <w:tc>
          <w:tcPr>
            <w:tcW w:type="dxa" w:w="25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r>
        <w:trPr>
          <w:cantSplit/>
        </w:trPr>
        <w:tc>
          <w:tcPr>
            <w:tcW w:type="dxa" w:w="2096"/>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DemandeVolets</w:t>
            </w:r>
          </w:p>
        </w:tc>
        <w:tc>
          <w:tcPr>
            <w:tcW w:type="dxa" w:w="475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onsolas" w:cs="Consolas" w:eastAsia="Consolas" w:hAnsi="Consolas"/>
                <w:color w:val="1F2733"/>
                <w:sz w:val="17"/>
                <w:szCs w:val="17"/>
              </w:rPr>
              <w:t xml:space="preserve">DemandeId</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VoletId</w:t>
            </w:r>
          </w:p>
        </w:tc>
        <w:tc>
          <w:tcPr>
            <w:tcW w:type="dxa" w:w="25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p>
        </w:tc>
      </w:tr>
    </w:tbl>
    <w:p>
      <w:pPr>
        <w:spacing w:after="80"/>
      </w:pPr>
    </w:p>
    <w:p>
      <w:pPr>
        <w:spacing w:after="120" w:line="288"/>
      </w:pPr>
      <w:r>
        <w:t xml:space="preserve">Le relevé des entraîneurs certifiés est une requête sur </w:t>
      </w:r>
      <w:r>
        <w:rPr>
          <w:rFonts w:ascii="Consolas" w:cs="Consolas" w:eastAsia="Consolas" w:hAnsi="Consolas"/>
          <w:color w:val="213146"/>
          <w:sz w:val="19"/>
          <w:szCs w:val="19"/>
        </w:rPr>
        <w:t xml:space="preserve">Reservations</w:t>
      </w:r>
      <w:r>
        <w:t xml:space="preserve"> (statut </w:t>
      </w:r>
      <w:r>
        <w:rPr>
          <w:rFonts w:ascii="Consolas" w:cs="Consolas" w:eastAsia="Consolas" w:hAnsi="Consolas"/>
          <w:color w:val="213146"/>
          <w:sz w:val="19"/>
          <w:szCs w:val="19"/>
        </w:rPr>
        <w:t xml:space="preserve">faite</w:t>
      </w:r>
      <w:r>
        <w:t xml:space="preserve">) et </w:t>
      </w:r>
      <w:r>
        <w:rPr>
          <w:rFonts w:ascii="Consolas" w:cs="Consolas" w:eastAsia="Consolas" w:hAnsi="Consolas"/>
          <w:color w:val="213146"/>
          <w:sz w:val="19"/>
          <w:szCs w:val="19"/>
        </w:rPr>
        <w:t xml:space="preserve">DemandesSurMesure</w:t>
      </w:r>
      <w:r>
        <w:t xml:space="preserve"> (statut </w:t>
      </w:r>
      <w:r>
        <w:rPr>
          <w:rFonts w:ascii="Consolas" w:cs="Consolas" w:eastAsia="Consolas" w:hAnsi="Consolas"/>
          <w:color w:val="213146"/>
          <w:sz w:val="19"/>
          <w:szCs w:val="19"/>
        </w:rPr>
        <w:t xml:space="preserve">livree</w:t>
      </w:r>
      <w:r>
        <w:t xml:space="preserve">), regroupée par </w:t>
      </w:r>
      <w:r>
        <w:rPr>
          <w:rFonts w:ascii="Consolas" w:cs="Consolas" w:eastAsia="Consolas" w:hAnsi="Consolas"/>
          <w:color w:val="213146"/>
          <w:sz w:val="19"/>
          <w:szCs w:val="19"/>
        </w:rPr>
        <w:t xml:space="preserve">CertifieId</w:t>
      </w:r>
      <w:r>
        <w:t xml:space="preserve"> et par période. Pas de table dédiée.</w:t>
      </w:r>
    </w:p>
    <w:p>
      <w:pPr>
        <w:pStyle w:val="Heading3"/>
        <w:keepNext/>
        <w:spacing w:after="80" w:before="220"/>
      </w:pPr>
      <w:r>
        <w:rPr>
          <w:rFonts w:ascii="Calibri" w:cs="Calibri" w:eastAsia="Calibri" w:hAnsi="Calibri"/>
          <w:b/>
          <w:bCs/>
          <w:color w:val="BB6535"/>
          <w:sz w:val="23"/>
          <w:szCs w:val="23"/>
        </w:rPr>
        <w:t xml:space="preserve">10.6 Import en lot (Production)</w:t>
      </w:r>
    </w:p>
    <w:p>
      <w:pPr>
        <w:spacing w:after="120" w:line="288"/>
      </w:pPr>
      <w:r>
        <w:t xml:space="preserve">Pas de nouvelle table de contenu : l'import crée des </w:t>
      </w:r>
      <w:r>
        <w:rPr>
          <w:rFonts w:ascii="Consolas" w:cs="Consolas" w:eastAsia="Consolas" w:hAnsi="Consolas"/>
          <w:color w:val="213146"/>
          <w:sz w:val="19"/>
          <w:szCs w:val="19"/>
        </w:rPr>
        <w:t xml:space="preserve">Pratiques</w:t>
      </w:r>
      <w:r>
        <w:t xml:space="preserve"> au statut </w:t>
      </w:r>
      <w:r>
        <w:rPr>
          <w:rFonts w:ascii="Consolas" w:cs="Consolas" w:eastAsia="Consolas" w:hAnsi="Consolas"/>
          <w:color w:val="213146"/>
          <w:sz w:val="19"/>
          <w:szCs w:val="19"/>
        </w:rPr>
        <w:t xml:space="preserve">brouillon</w:t>
      </w:r>
      <w:r>
        <w:t xml:space="preserve">, liées à un </w:t>
      </w:r>
      <w:r>
        <w:rPr>
          <w:rFonts w:ascii="Consolas" w:cs="Consolas" w:eastAsia="Consolas" w:hAnsi="Consolas"/>
          <w:color w:val="213146"/>
          <w:sz w:val="19"/>
          <w:szCs w:val="19"/>
        </w:rPr>
        <w:t xml:space="preserve">ImportLots</w:t>
      </w:r>
      <w:r>
        <w:t xml:space="preserve"> (</w:t>
      </w:r>
      <w:r>
        <w:rPr>
          <w:rFonts w:ascii="Consolas" w:cs="Consolas" w:eastAsia="Consolas" w:hAnsi="Consolas"/>
          <w:color w:val="213146"/>
          <w:sz w:val="19"/>
          <w:szCs w:val="19"/>
        </w:rPr>
        <w:t xml:space="preserve">Id</w:t>
      </w:r>
      <w:r>
        <w:t xml:space="preserve">, </w:t>
      </w:r>
      <w:r>
        <w:rPr>
          <w:rFonts w:ascii="Consolas" w:cs="Consolas" w:eastAsia="Consolas" w:hAnsi="Consolas"/>
          <w:color w:val="213146"/>
          <w:sz w:val="19"/>
          <w:szCs w:val="19"/>
        </w:rPr>
        <w:t xml:space="preserve">CreeParId</w:t>
      </w:r>
      <w:r>
        <w:t xml:space="preserve">, </w:t>
      </w:r>
      <w:r>
        <w:rPr>
          <w:rFonts w:ascii="Consolas" w:cs="Consolas" w:eastAsia="Consolas" w:hAnsi="Consolas"/>
          <w:color w:val="213146"/>
          <w:sz w:val="19"/>
          <w:szCs w:val="19"/>
        </w:rPr>
        <w:t xml:space="preserve">NbFichiers</w:t>
      </w:r>
      <w:r>
        <w:t xml:space="preserve">, </w:t>
      </w:r>
      <w:r>
        <w:rPr>
          <w:rFonts w:ascii="Consolas" w:cs="Consolas" w:eastAsia="Consolas" w:hAnsi="Consolas"/>
          <w:color w:val="213146"/>
          <w:sz w:val="19"/>
          <w:szCs w:val="19"/>
        </w:rPr>
        <w:t xml:space="preserve">Statut</w:t>
      </w:r>
      <w:r>
        <w:t xml:space="preserve">, </w:t>
      </w:r>
      <w:r>
        <w:rPr>
          <w:rFonts w:ascii="Consolas" w:cs="Consolas" w:eastAsia="Consolas" w:hAnsi="Consolas"/>
          <w:color w:val="213146"/>
          <w:sz w:val="19"/>
          <w:szCs w:val="19"/>
        </w:rPr>
        <w:t xml:space="preserve">CreeLe</w:t>
      </w:r>
      <w:r>
        <w:t xml:space="preserve">) par une colonne </w:t>
      </w:r>
      <w:r>
        <w:rPr>
          <w:rFonts w:ascii="Consolas" w:cs="Consolas" w:eastAsia="Consolas" w:hAnsi="Consolas"/>
          <w:color w:val="213146"/>
          <w:sz w:val="19"/>
          <w:szCs w:val="19"/>
        </w:rPr>
        <w:t xml:space="preserve">ImportLotId</w:t>
      </w:r>
      <w:r>
        <w:t xml:space="preserve">. Chaîne de traitement :</w:t>
      </w:r>
    </w:p>
    <w:p>
      <w:pPr>
        <w:pStyle w:val="ListParagraph"/>
        <w:numPr>
          <w:ilvl w:val="0"/>
          <w:numId w:val="8"/>
        </w:numPr>
        <w:spacing w:after="80" w:line="276"/>
      </w:pPr>
      <w:r>
        <w:t xml:space="preserve">Conversion des fichiers Word en PDF (LibreOffice sans interface, dans l'image Docker).</w:t>
      </w:r>
    </w:p>
    <w:p>
      <w:pPr>
        <w:pStyle w:val="ListParagraph"/>
        <w:numPr>
          <w:ilvl w:val="0"/>
          <w:numId w:val="8"/>
        </w:numPr>
        <w:spacing w:after="80" w:line="276"/>
      </w:pPr>
      <w:r>
        <w:t xml:space="preserve">Extraction du texte ; reconnaissance de caractères pour les PDF numérisés.</w:t>
      </w:r>
    </w:p>
    <w:p>
      <w:pPr>
        <w:pStyle w:val="ListParagraph"/>
        <w:numPr>
          <w:ilvl w:val="0"/>
          <w:numId w:val="8"/>
        </w:numPr>
        <w:spacing w:after="80" w:line="276"/>
      </w:pPr>
      <w:r>
        <w:t xml:space="preserve">Appel à un modèle de langage à qui l'on fournit les listes fermées ; il retourne un JSON validé contre ces listes.</w:t>
      </w:r>
    </w:p>
    <w:p>
      <w:pPr>
        <w:pStyle w:val="ListParagraph"/>
        <w:numPr>
          <w:ilvl w:val="0"/>
          <w:numId w:val="8"/>
        </w:numPr>
        <w:spacing w:after="80" w:line="276"/>
      </w:pPr>
      <w:r>
        <w:t xml:space="preserve">Pré-remplissage du brouillon ; le gestionnaire valide dans une file « À valider ».</w:t>
      </w:r>
    </w:p>
    <w:p>
      <w:pPr>
        <w:spacing w:after="40"/>
      </w:pPr>
    </w:p>
    <w:p>
      <w:pPr>
        <w:pStyle w:val="Heading2"/>
        <w:keepNext/>
        <w:spacing w:after="120" w:before="320"/>
      </w:pPr>
      <w:r>
        <w:rPr>
          <w:rFonts w:ascii="Calibri" w:cs="Calibri" w:eastAsia="Calibri" w:hAnsi="Calibri"/>
          <w:b/>
          <w:bCs/>
          <w:color w:val="213146"/>
          <w:sz w:val="28"/>
          <w:szCs w:val="28"/>
        </w:rPr>
        <w:t xml:space="preserve">11. Jalons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2"/>
        <w:gridCol w:w="5114"/>
        <w:gridCol w:w="1984"/>
      </w:tblGrid>
      <w:tr>
        <w:trPr>
          <w:tblHeader/>
        </w:trPr>
        <w:tc>
          <w:tcPr>
            <w:tcW w:type="dxa" w:w="2262"/>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Jalon</w:t>
            </w:r>
          </w:p>
        </w:tc>
        <w:tc>
          <w:tcPr>
            <w:tcW w:type="dxa" w:w="511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Contenu</w:t>
            </w:r>
          </w:p>
        </w:tc>
        <w:tc>
          <w:tcPr>
            <w:tcW w:type="dxa" w:w="1984"/>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Estimation</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J0 — Fondations</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Rôles, inscription libre, zones publique, entraîneur et gestion, listes de référence, stockage des fichiers</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5 à 6 jours</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J1 — Catalogue</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Pratiques et facettes, gestion des fiches, catalogue public avec filtres et compteurs, fiche, équipe du coach</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8 à 10 jours</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J2 — Paiement</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Produits, Stripe Checkout, webhook et idempotence, </w:t>
            </w:r>
            <w:r>
              <w:rPr>
                <w:rFonts w:ascii="Consolas" w:cs="Consolas" w:eastAsia="Consolas" w:hAnsi="Consolas"/>
                <w:color w:val="1F2733"/>
                <w:sz w:val="17"/>
                <w:szCs w:val="17"/>
              </w:rPr>
              <w:t xml:space="preserve">Achats</w:t>
            </w:r>
            <w:r>
              <w:rPr>
                <w:rFonts w:ascii="Calibri" w:cs="Calibri" w:eastAsia="Calibri" w:hAnsi="Calibri"/>
                <w:color w:val="1F2733"/>
                <w:sz w:val="19"/>
                <w:szCs w:val="19"/>
              </w:rPr>
              <w:t xml:space="preserve">, </w:t>
            </w:r>
            <w:r>
              <w:rPr>
                <w:rFonts w:ascii="Consolas" w:cs="Consolas" w:eastAsia="Consolas" w:hAnsi="Consolas"/>
                <w:color w:val="1F2733"/>
                <w:sz w:val="17"/>
                <w:szCs w:val="17"/>
              </w:rPr>
              <w:t xml:space="preserve">Acces</w:t>
            </w:r>
            <w:r>
              <w:rPr>
                <w:rFonts w:ascii="Calibri" w:cs="Calibri" w:eastAsia="Calibri" w:hAnsi="Calibri"/>
                <w:color w:val="1F2733"/>
                <w:sz w:val="19"/>
                <w:szCs w:val="19"/>
              </w:rPr>
              <w:t xml:space="preserve">, « Mes pratiques », téléchargement sécurisé, reçus</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6 à 8 jours</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J3 — Zoom</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Disponibilités, réservation avec blocage, paiement, courriels, statuts, relevé</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6 à 8 jours</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J4 — Sur mesure</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Formulaire, suivi des statuts, assignation, livraison privée</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4 à 5 jours</w:t>
            </w:r>
          </w:p>
        </w:tc>
      </w:tr>
      <w:tr>
        <w:trPr>
          <w:cantSplit/>
        </w:trPr>
        <w:tc>
          <w:tcPr>
            <w:tcW w:type="dxa" w:w="2262"/>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J5 — Mise en ligne</w:t>
            </w:r>
          </w:p>
        </w:tc>
        <w:tc>
          <w:tcPr>
            <w:tcW w:type="dxa" w:w="511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Projet Firebase, CORS, </w:t>
            </w:r>
            <w:r>
              <w:rPr>
                <w:rFonts w:ascii="Consolas" w:cs="Consolas" w:eastAsia="Consolas" w:hAnsi="Consolas"/>
                <w:color w:val="1F2733"/>
                <w:sz w:val="17"/>
                <w:szCs w:val="17"/>
              </w:rPr>
              <w:t xml:space="preserve">DB_SSL</w:t>
            </w:r>
            <w:r>
              <w:rPr>
                <w:rFonts w:ascii="Calibri" w:cs="Calibri" w:eastAsia="Calibri" w:hAnsi="Calibri"/>
                <w:color w:val="1F2733"/>
                <w:sz w:val="19"/>
                <w:szCs w:val="19"/>
              </w:rPr>
              <w:t xml:space="preserve">, déploiement, pages de confidentialité, essais de bout en bout</w:t>
            </w:r>
          </w:p>
        </w:tc>
        <w:tc>
          <w:tcPr>
            <w:tcW w:type="dxa" w:w="1984"/>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3 à 5 jours</w:t>
            </w:r>
          </w:p>
        </w:tc>
      </w:tr>
      <w:tr>
        <w:trPr>
          <w:cantSplit/>
        </w:trPr>
        <w:tc>
          <w:tcPr>
            <w:tcW w:type="dxa" w:w="2262"/>
            <w:tcBorders>
              <w:top w:val="single" w:color="C9D0DA" w:sz="4"/>
              <w:left w:val="single" w:color="C9D0DA" w:sz="4"/>
              <w:bottom w:val="single" w:color="C9D0DA" w:sz="4"/>
              <w:right w:val="single" w:color="C9D0DA" w:sz="4"/>
            </w:tcBorders>
            <w:shd w:fill="F3F5F8" w:color="auto" w:val="clear"/>
            <w:tcMar>
              <w:top w:type="dxa" w:w="70"/>
              <w:left w:type="dxa" w:w="100"/>
              <w:bottom w:type="dxa" w:w="70"/>
              <w:right w:type="dxa" w:w="100"/>
            </w:tcMar>
          </w:tcPr>
          <w:p>
            <w:pPr>
              <w:spacing w:after="0" w:before="0" w:line="264"/>
            </w:pPr>
            <w:r>
              <w:rPr>
                <w:rFonts w:ascii="Calibri" w:cs="Calibri" w:eastAsia="Calibri" w:hAnsi="Calibri"/>
                <w:b/>
                <w:bCs/>
                <w:color w:val="1F2733"/>
                <w:sz w:val="19"/>
                <w:szCs w:val="19"/>
              </w:rPr>
              <w:t xml:space="preserve">Total MVP</w:t>
            </w:r>
          </w:p>
        </w:tc>
        <w:tc>
          <w:tcPr>
            <w:tcW w:type="dxa" w:w="5114"/>
            <w:tcBorders>
              <w:top w:val="single" w:color="C9D0DA" w:sz="4"/>
              <w:left w:val="single" w:color="C9D0DA" w:sz="4"/>
              <w:bottom w:val="single" w:color="C9D0DA" w:sz="4"/>
              <w:right w:val="single" w:color="C9D0DA" w:sz="4"/>
            </w:tcBorders>
            <w:shd w:fill="F3F5F8" w:color="auto" w:val="clear"/>
            <w:tcMar>
              <w:top w:type="dxa" w:w="70"/>
              <w:left w:type="dxa" w:w="100"/>
              <w:bottom w:type="dxa" w:w="70"/>
              <w:right w:type="dxa" w:w="100"/>
            </w:tcMar>
          </w:tcPr>
          <w:p>
            <w:pPr>
              <w:spacing w:after="0" w:before="0" w:line="264"/>
            </w:pPr>
          </w:p>
        </w:tc>
        <w:tc>
          <w:tcPr>
            <w:tcW w:type="dxa" w:w="1984"/>
            <w:tcBorders>
              <w:top w:val="single" w:color="C9D0DA" w:sz="4"/>
              <w:left w:val="single" w:color="C9D0DA" w:sz="4"/>
              <w:bottom w:val="single" w:color="C9D0DA" w:sz="4"/>
              <w:right w:val="single" w:color="C9D0DA" w:sz="4"/>
            </w:tcBorders>
            <w:shd w:fill="F3F5F8" w:color="auto" w:val="clear"/>
            <w:tcMar>
              <w:top w:type="dxa" w:w="70"/>
              <w:left w:type="dxa" w:w="100"/>
              <w:bottom w:type="dxa" w:w="70"/>
              <w:right w:type="dxa" w:w="100"/>
            </w:tcMar>
          </w:tcPr>
          <w:p>
            <w:pPr>
              <w:spacing w:after="0" w:before="0" w:line="264"/>
            </w:pPr>
            <w:r>
              <w:rPr>
                <w:rFonts w:ascii="Calibri" w:cs="Calibri" w:eastAsia="Calibri" w:hAnsi="Calibri"/>
                <w:b/>
                <w:bCs/>
                <w:color w:val="1F2733"/>
                <w:sz w:val="19"/>
                <w:szCs w:val="19"/>
              </w:rPr>
              <w:t xml:space="preserve">32 à 42 jours</w:t>
            </w:r>
          </w:p>
        </w:tc>
      </w:tr>
    </w:tbl>
    <w:p>
      <w:pPr>
        <w:spacing w:after="80"/>
      </w:pPr>
    </w:p>
    <w:p>
      <w:pPr>
        <w:spacing w:after="120" w:line="288"/>
      </w:pPr>
      <w:r>
        <w:t xml:space="preserve">Phase Production, dans l'ordre proposé : import assisté par IA (5 à 7 jours), licences d'association (6 à 8), abonnements et combos (5 à 7), Zoom de groupe et API Zoom (4 à 6), filigrane (2 à 3), vidéos, règlements et affichage terrain (3 à 5). Total : 25 à 36 jours.</w:t>
      </w:r>
    </w:p>
    <w:p>
      <w:pPr>
        <w:spacing w:after="120" w:line="288"/>
      </w:pPr>
      <w:r>
        <w:t xml:space="preserve">L'import assisté vient en tête de la phase Production : pour les 40 à 60 pratiques du lancement, la saisie manuelle suffit. Si Steve veut tout son catalogue au lancement, l'import passe dans le MVP.</w:t>
      </w:r>
    </w:p>
    <w:p>
      <w:pPr>
        <w:pStyle w:val="Heading2"/>
        <w:keepNext/>
        <w:spacing w:after="120" w:before="320"/>
      </w:pPr>
      <w:r>
        <w:rPr>
          <w:rFonts w:ascii="Calibri" w:cs="Calibri" w:eastAsia="Calibri" w:hAnsi="Calibri"/>
          <w:b/>
          <w:bCs/>
          <w:color w:val="213146"/>
          <w:sz w:val="28"/>
          <w:szCs w:val="28"/>
        </w:rPr>
        <w:t xml:space="preserve">12. Risques et points d'attention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9"/>
        <w:gridCol w:w="2510"/>
        <w:gridCol w:w="4011"/>
      </w:tblGrid>
      <w:tr>
        <w:trPr>
          <w:tblHeader/>
        </w:trPr>
        <w:tc>
          <w:tcPr>
            <w:tcW w:type="dxa" w:w="2839"/>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Risque</w:t>
            </w:r>
          </w:p>
        </w:tc>
        <w:tc>
          <w:tcPr>
            <w:tcW w:type="dxa" w:w="2510"/>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Conséquence</w:t>
            </w:r>
          </w:p>
        </w:tc>
        <w:tc>
          <w:tcPr>
            <w:tcW w:type="dxa" w:w="4011"/>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Parade</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Pratiques classées trop large</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Les filtres ne filtrent plus, comme chez Baseball Canada</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Deux calibres au plus ; rapport de répartition par facette dans l'espace gestion</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Saisie des métadonnées trop lourde pour Steve</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Catalogue lent à remplir ou mal classé</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Lancement à 40–60 pratiques ; import assisté par IA ensuite</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Partage des PDF hors du hub</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Ventes perdues</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Filigrane au nom de l'acheteur ; licences d'association ; accepter une part de fuite</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Documents hétérogènes sur 25 ans</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Impression d'ensemble inégale</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Choisir les plus soignés pour le lancement ; page couverture uniforme générée par le hub</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Disponibilité des entraîneurs certifiés</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Créneaux vides, clients déçus</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Créneaux publiés par les certifiés eux-mêmes ; aucune promesse de délai</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Double réservation d'un créneau</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Deux clients pour une place</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Transaction avec verrou sur la disponibilité ; réservation </w:t>
            </w:r>
            <w:r>
              <w:rPr>
                <w:rFonts w:ascii="Consolas" w:cs="Consolas" w:eastAsia="Consolas" w:hAnsi="Consolas"/>
                <w:color w:val="1F2733"/>
                <w:sz w:val="17"/>
                <w:szCs w:val="17"/>
              </w:rPr>
              <w:t xml:space="preserve">en_attente</w:t>
            </w:r>
            <w:r>
              <w:rPr>
                <w:rFonts w:ascii="Calibri" w:cs="Calibri" w:eastAsia="Calibri" w:hAnsi="Calibri"/>
                <w:color w:val="1F2733"/>
                <w:sz w:val="19"/>
                <w:szCs w:val="19"/>
              </w:rPr>
              <w:t xml:space="preserve"> qui expire avec la session Stripe</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Webhook manqué ou reçu deux fois</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Accès non accordé, ou accordé deux fois</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Table </w:t>
            </w:r>
            <w:r>
              <w:rPr>
                <w:rFonts w:ascii="Consolas" w:cs="Consolas" w:eastAsia="Consolas" w:hAnsi="Consolas"/>
                <w:color w:val="1F2733"/>
                <w:sz w:val="17"/>
                <w:szCs w:val="17"/>
              </w:rPr>
              <w:t xml:space="preserve">StripeEvenements</w:t>
            </w:r>
            <w:r>
              <w:rPr>
                <w:rFonts w:ascii="Calibri" w:cs="Calibri" w:eastAsia="Calibri" w:hAnsi="Calibri"/>
                <w:color w:val="1F2733"/>
                <w:sz w:val="19"/>
                <w:szCs w:val="19"/>
              </w:rPr>
              <w:t xml:space="preserve"> ; Stripe relance les envois en échec ; vérification manuelle possible depuis l'espace gestion</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Changement de marchand après des abonnements</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Abonnements à recréer</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Trancher Centre ou Académie avant la première vente d'abonnement</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Métadonnées proposées par l'IA erronées, PDF numérisés</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Mauvais classement</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Validation humaine obligatoire ; listes fermées imposées au modèle ; reconnaissance de caractères</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Loi 25 (renseignements personnels, Québec)</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Non-conformité</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Politique de confidentialité, consentement à l'inscription, responsable désigné, collecte minimale. À valider avec la personne responsable à l'Académie.</w:t>
            </w:r>
          </w:p>
        </w:tc>
      </w:tr>
      <w:tr>
        <w:trPr>
          <w:cantSplit/>
        </w:trPr>
        <w:tc>
          <w:tcPr>
            <w:tcW w:type="dxa" w:w="2839"/>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Sécurité du socle avant la production</w:t>
            </w:r>
          </w:p>
        </w:tc>
        <w:tc>
          <w:tcPr>
            <w:tcW w:type="dxa" w:w="251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Exposition</w:t>
            </w:r>
          </w:p>
        </w:tc>
        <w:tc>
          <w:tcPr>
            <w:tcW w:type="dxa" w:w="4011"/>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CORS restreint, </w:t>
            </w:r>
            <w:r>
              <w:rPr>
                <w:rFonts w:ascii="Consolas" w:cs="Consolas" w:eastAsia="Consolas" w:hAnsi="Consolas"/>
                <w:color w:val="1F2733"/>
                <w:sz w:val="17"/>
                <w:szCs w:val="17"/>
              </w:rPr>
              <w:t xml:space="preserve">DB_SSL=true</w:t>
            </w:r>
            <w:r>
              <w:rPr>
                <w:rFonts w:ascii="Calibri" w:cs="Calibri" w:eastAsia="Calibri" w:hAnsi="Calibri"/>
                <w:color w:val="1F2733"/>
                <w:sz w:val="19"/>
                <w:szCs w:val="19"/>
              </w:rPr>
              <w:t xml:space="preserve">, clés hors du dépôt, projet Firebase confirmé</w:t>
            </w:r>
          </w:p>
        </w:tc>
      </w:tr>
    </w:tbl>
    <w:p>
      <w:pPr>
        <w:spacing w:after="80"/>
      </w:pPr>
    </w:p>
    <w:p>
      <w:pPr>
        <w:pStyle w:val="Heading2"/>
        <w:keepNext/>
        <w:spacing w:after="120" w:before="320"/>
      </w:pPr>
      <w:r>
        <w:rPr>
          <w:rFonts w:ascii="Calibri" w:cs="Calibri" w:eastAsia="Calibri" w:hAnsi="Calibri"/>
          <w:b/>
          <w:bCs/>
          <w:color w:val="213146"/>
          <w:sz w:val="28"/>
          <w:szCs w:val="28"/>
        </w:rPr>
        <w:t xml:space="preserve">13. Questions 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0"/>
        <w:gridCol w:w="2765"/>
        <w:gridCol w:w="2155"/>
      </w:tblGrid>
      <w:tr>
        <w:trPr>
          <w:tblHeader/>
        </w:trPr>
        <w:tc>
          <w:tcPr>
            <w:tcW w:type="dxa" w:w="4440"/>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Question</w:t>
            </w:r>
          </w:p>
        </w:tc>
        <w:tc>
          <w:tcPr>
            <w:tcW w:type="dxa" w:w="2765"/>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Quand la trancher</w:t>
            </w:r>
          </w:p>
        </w:tc>
        <w:tc>
          <w:tcPr>
            <w:tcW w:type="dxa" w:w="2155"/>
            <w:tcBorders>
              <w:top w:val="single" w:color="C9D0DA" w:sz="4"/>
              <w:left w:val="single" w:color="C9D0DA" w:sz="4"/>
              <w:bottom w:val="single" w:color="C9D0DA" w:sz="4"/>
              <w:right w:val="single" w:color="C9D0DA" w:sz="4"/>
            </w:tcBorders>
            <w:shd w:fill="213146" w:color="auto" w:val="clear"/>
            <w:tcMar>
              <w:top w:type="dxa" w:w="70"/>
              <w:left w:type="dxa" w:w="100"/>
              <w:bottom w:type="dxa" w:w="70"/>
              <w:right w:type="dxa" w:w="100"/>
            </w:tcMar>
          </w:tcPr>
          <w:p>
            <w:pPr>
              <w:spacing w:after="0" w:before="0" w:line="264"/>
            </w:pPr>
            <w:r>
              <w:rPr>
                <w:rFonts w:ascii="Calibri" w:cs="Calibri" w:eastAsia="Calibri" w:hAnsi="Calibri"/>
                <w:b/>
                <w:bCs/>
                <w:color w:val="FFFFFF"/>
                <w:sz w:val="19"/>
                <w:szCs w:val="19"/>
              </w:rPr>
              <w:t xml:space="preserve">Qui</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Marchand : le Centre ou l'Académie</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la première vente d'abonnement</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Académie et Centre</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Grille de prix (pratique, Zoom, sur mesure, puis abonnement et licence)</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J2</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 et Sébastien</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Liste exacte des catégories, combinaisons catégorie × calibre, habiletés par volet</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J1</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Pratiques gratuites et les 40 à 60 pratiques du lancement</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le lancement</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Durée et formats des appels Zoom</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J3</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Règle d'annulation et de remboursement des Zoom</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Reportée</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 et Sébastien</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Place de la convention des entraîneurs dans le hub</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Phase Production</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Steve</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Projet Firebase propre au hub ou partagé</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J0</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Sébastien</w:t>
            </w:r>
          </w:p>
        </w:tc>
      </w:tr>
      <w:tr>
        <w:trPr>
          <w:cantSplit/>
        </w:trPr>
        <w:tc>
          <w:tcPr>
            <w:tcW w:type="dxa" w:w="4440"/>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Nom et identité visuelle du hub</w:t>
            </w:r>
          </w:p>
        </w:tc>
        <w:tc>
          <w:tcPr>
            <w:tcW w:type="dxa" w:w="276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Avant J5</w:t>
            </w:r>
          </w:p>
        </w:tc>
        <w:tc>
          <w:tcPr>
            <w:tcW w:type="dxa" w:w="2155"/>
            <w:tcBorders>
              <w:top w:val="single" w:color="C9D0DA" w:sz="4"/>
              <w:left w:val="single" w:color="C9D0DA" w:sz="4"/>
              <w:bottom w:val="single" w:color="C9D0DA" w:sz="4"/>
              <w:right w:val="single" w:color="C9D0DA" w:sz="4"/>
            </w:tcBorders>
            <w:tcMar>
              <w:top w:type="dxa" w:w="70"/>
              <w:left w:type="dxa" w:w="100"/>
              <w:bottom w:type="dxa" w:w="70"/>
              <w:right w:type="dxa" w:w="100"/>
            </w:tcMar>
          </w:tcPr>
          <w:p>
            <w:pPr>
              <w:spacing w:after="0" w:before="0" w:line="264"/>
            </w:pPr>
            <w:r>
              <w:rPr>
                <w:rFonts w:ascii="Calibri" w:cs="Calibri" w:eastAsia="Calibri" w:hAnsi="Calibri"/>
                <w:color w:val="1F2733"/>
                <w:sz w:val="19"/>
                <w:szCs w:val="19"/>
              </w:rPr>
              <w:t xml:space="preserve">Académie</w:t>
            </w:r>
          </w:p>
        </w:tc>
      </w:tr>
    </w:tbl>
    <w:p>
      <w:pPr>
        <w:spacing w:after="80"/>
      </w:pPr>
    </w:p>
    <w:p>
      <w:pPr>
        <w:pStyle w:val="Heading2"/>
        <w:keepNext/>
        <w:spacing w:after="120" w:before="320"/>
      </w:pPr>
      <w:r>
        <w:rPr>
          <w:rFonts w:ascii="Calibri" w:cs="Calibri" w:eastAsia="Calibri" w:hAnsi="Calibri"/>
          <w:b/>
          <w:bCs/>
          <w:color w:val="213146"/>
          <w:sz w:val="28"/>
          <w:szCs w:val="28"/>
        </w:rPr>
        <w:t xml:space="preserve">14. Prochaines étapes</w:t>
      </w:r>
    </w:p>
    <w:p>
      <w:pPr>
        <w:pStyle w:val="ListParagraph"/>
        <w:numPr>
          <w:ilvl w:val="0"/>
          <w:numId w:val="9"/>
        </w:numPr>
        <w:spacing w:after="80" w:line="276"/>
      </w:pPr>
      <w:r>
        <w:t xml:space="preserve">Steve relit les sections 2, 5 et 6 et corrige ce qui ne colle pas au terrain.</w:t>
      </w:r>
    </w:p>
    <w:p>
      <w:pPr>
        <w:pStyle w:val="ListParagraph"/>
        <w:numPr>
          <w:ilvl w:val="0"/>
          <w:numId w:val="9"/>
        </w:numPr>
        <w:spacing w:after="80" w:line="276"/>
      </w:pPr>
      <w:r>
        <w:t xml:space="preserve">Steve fournit les listes de référence (catégories, habiletés par volet) et 5 à 10 pratiques de formats et d'époques variés, pour caler les fiches et, plus tard, l'import.</w:t>
      </w:r>
    </w:p>
    <w:p>
      <w:pPr>
        <w:pStyle w:val="ListParagraph"/>
        <w:numPr>
          <w:ilvl w:val="0"/>
          <w:numId w:val="9"/>
        </w:numPr>
        <w:spacing w:after="80" w:line="276"/>
      </w:pPr>
      <w:r>
        <w:t xml:space="preserve">Sébastien démarre J0 sur le socle existant.</w:t>
      </w:r>
    </w:p>
    <w:p>
      <w:pPr>
        <w:spacing w:after="40"/>
      </w:pPr>
    </w:p>
    <w:sectPr>
      <w:headerReference w:type="default" r:id="rId7"/>
      <w:footerReference w:type="default" r:id="rId8"/>
      <w:pgSz w:w="12240" w:h="15840" w:orient="portrait"/>
      <w:pgMar w:top="130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7"/>
        <w:szCs w:val="17"/>
      </w:rPr>
      <w:t xml:space="preserve">Page </w:t>
    </w:r>
    <w:r>
      <w:rPr>
        <w:color w:val="5B6573"/>
        <w:sz w:val="17"/>
        <w:szCs w:val="17"/>
      </w:rPr>
      <w:fldChar w:fldCharType="begin"/>
      <w:instrText xml:space="preserve">PAGE</w:instrText>
      <w:fldChar w:fldCharType="separate"/>
      <w:fldChar w:fldCharType="end"/>
    </w:r>
    <w:r>
      <w:rPr>
        <w:color w:val="5B6573"/>
        <w:sz w:val="17"/>
        <w:szCs w:val="17"/>
      </w:rPr>
      <w:t xml:space="preserve"> de </w:t>
    </w:r>
    <w:r>
      <w:rPr>
        <w:color w:val="5B65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7"/>
        <w:szCs w:val="17"/>
      </w:rPr>
      <w:t xml:space="preserve">Hub Entraîneurs — Cadrage ·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BB6535"/>
      </w:rPr>
    </w:lvl>
  </w:abstractNum>
  <w:abstractNum w:abstractNumId="3" w15:restartNumberingAfterBreak="0">
    <w:multiLevelType w:val="hybridMultilevel"/>
    <w:lvl w:ilvl="0" w15:tentative="1">
      <w:start w:val="1"/>
      <w:numFmt w:val="decimal"/>
      <w:lvlText w:val="%1."/>
      <w:lvlJc w:val="left"/>
      <w:pPr>
        <w:ind w:left="360" w:hanging="300"/>
      </w:pPr>
      <w:rPr>
        <w:b/>
        <w:bCs/>
        <w:color w:val="21314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13146"/>
      <w:sz w:val="36"/>
      <w:szCs w:val="36"/>
    </w:rPr>
  </w:style>
  <w:style w:type="paragraph" w:styleId="Heading2">
    <w:name w:val="Heading 2"/>
    <w:basedOn w:val="Normal"/>
    <w:next w:val="Normal"/>
    <w:qFormat/>
    <w:pPr>
      <w:outlineLvl w:val="1"/>
    </w:pPr>
    <w:rPr>
      <w:rFonts w:ascii="Calibri" w:cs="Calibri" w:eastAsia="Calibri" w:hAnsi="Calibri"/>
      <w:b/>
      <w:bCs/>
      <w:color w:val="213146"/>
      <w:sz w:val="28"/>
      <w:szCs w:val="28"/>
    </w:rPr>
  </w:style>
  <w:style w:type="paragraph" w:styleId="Heading3">
    <w:name w:val="Heading 3"/>
    <w:basedOn w:val="Normal"/>
    <w:next w:val="Normal"/>
    <w:qFormat/>
    <w:pPr>
      <w:outlineLvl w:val="2"/>
    </w:pPr>
    <w:rPr>
      <w:rFonts w:ascii="Calibri" w:cs="Calibri" w:eastAsia="Calibri" w:hAnsi="Calibri"/>
      <w:b/>
      <w:bCs/>
      <w:color w:val="BB65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373977c5a1fd59f6cae3b6f40af114990cee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 Entraîneurs — Cadrage produit et technique</dc:title>
  <dc:creator>Techqueb</dc:creator>
  <dc:description>Document de cadrage du hub pour entraîneurs de baseball</dc:description>
  <cp:lastModifiedBy>Un-named</cp:lastModifiedBy>
  <cp:revision>1</cp:revision>
  <dcterms:created xsi:type="dcterms:W3CDTF">2026-10-09T11:54:57.325Z</dcterms:created>
  <dcterms:modified xsi:type="dcterms:W3CDTF">2026-10-09T11:54:57.325Z</dcterms:modified>
</cp:coreProperties>
</file>

<file path=docProps/custom.xml><?xml version="1.0" encoding="utf-8"?>
<Properties xmlns="http://schemas.openxmlformats.org/officeDocument/2006/custom-properties" xmlns:vt="http://schemas.openxmlformats.org/officeDocument/2006/docPropsVTypes"/>
</file>