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INFORME TÉCNICO</w:t>
      </w:r>
    </w:p>
    <w:p>
      <w:pPr>
        <w:jc w:val="center"/>
      </w:pPr>
      <w:r>
        <w:rPr>
          <w:b/>
          <w:color w:val="4472C4"/>
          <w:sz w:val="32"/>
        </w:rPr>
        <w:t>Aplicación de Soporte a Decisiones — PETI 2025-2028</w:t>
      </w:r>
    </w:p>
    <w:p/>
    <w:p>
      <w:pPr>
        <w:jc w:val="center"/>
      </w:pPr>
      <w:r>
        <w:rPr>
          <w:sz w:val="24"/>
        </w:rPr>
        <w:t>Fecha: 25 de May de 2026</w:t>
        <w:br/>
      </w:r>
      <w:r>
        <w:rPr>
          <w:sz w:val="24"/>
        </w:rPr>
        <w:t>Autores: Sebastian Velasquez · Camila Bermudez · Diego Zabaleta · Simon Cortes · Sara Patiño</w:t>
      </w:r>
    </w:p>
    <w:p>
      <w:r>
        <w:br w:type="page"/>
      </w:r>
    </w:p>
    <w:p>
      <w:pPr>
        <w:pStyle w:val="Heading1"/>
      </w:pPr>
      <w:r>
        <w:rPr>
          <w:color w:val="1F497D"/>
        </w:rPr>
        <w:t>Tabla de Contenido</w:t>
      </w:r>
    </w:p>
    <w:p>
      <w:pPr>
        <w:ind w:left="0"/>
      </w:pPr>
      <w:r>
        <w:t>1. Descripción General</w:t>
      </w:r>
    </w:p>
    <w:p>
      <w:pPr>
        <w:ind w:left="0"/>
      </w:pPr>
      <w:r>
        <w:t>2. Stack Tecnológico</w:t>
      </w:r>
    </w:p>
    <w:p>
      <w:pPr>
        <w:ind w:left="0"/>
      </w:pPr>
      <w:r>
        <w:t>3. Estructura del Proyecto</w:t>
      </w:r>
    </w:p>
    <w:p>
      <w:pPr>
        <w:ind w:left="0"/>
      </w:pPr>
      <w:r>
        <w:t>4. Módulo 1: Teoría de Decisiones de Bayes</w:t>
      </w:r>
    </w:p>
    <w:p>
      <w:pPr>
        <w:pStyle w:val="ListBullet"/>
        <w:ind w:left="567"/>
      </w:pPr>
      <w:r>
        <w:t xml:space="preserve">   4.1 Contexto y Propósito</w:t>
      </w:r>
    </w:p>
    <w:p>
      <w:pPr>
        <w:pStyle w:val="ListBullet"/>
        <w:ind w:left="567"/>
      </w:pPr>
      <w:r>
        <w:t xml:space="preserve">   4.2 Funcionalidades y Tabs</w:t>
      </w:r>
    </w:p>
    <w:p>
      <w:pPr>
        <w:pStyle w:val="ListBullet"/>
        <w:ind w:left="567"/>
      </w:pPr>
      <w:r>
        <w:t xml:space="preserve">   4.3 Fórmulas Clave</w:t>
      </w:r>
    </w:p>
    <w:p>
      <w:pPr>
        <w:pStyle w:val="ListBullet"/>
        <w:ind w:left="567"/>
      </w:pPr>
      <w:r>
        <w:t xml:space="preserve">   4.4 KPIs Principales</w:t>
      </w:r>
    </w:p>
    <w:p>
      <w:pPr>
        <w:ind w:left="0"/>
      </w:pPr>
      <w:r>
        <w:t>5. Módulo 2: Teoría de Juegos</w:t>
      </w:r>
    </w:p>
    <w:p>
      <w:pPr>
        <w:pStyle w:val="ListBullet"/>
        <w:ind w:left="567"/>
      </w:pPr>
      <w:r>
        <w:t xml:space="preserve">   5.1 Contexto Empresarial</w:t>
      </w:r>
    </w:p>
    <w:p>
      <w:pPr>
        <w:pStyle w:val="ListBullet"/>
        <w:ind w:left="567"/>
      </w:pPr>
      <w:r>
        <w:t xml:space="preserve">   5.2 Matriz de Pagos</w:t>
      </w:r>
    </w:p>
    <w:p>
      <w:pPr>
        <w:pStyle w:val="ListBullet"/>
        <w:ind w:left="567"/>
      </w:pPr>
      <w:r>
        <w:t xml:space="preserve">   5.3 Reducción por Dominancia</w:t>
      </w:r>
    </w:p>
    <w:p>
      <w:pPr>
        <w:pStyle w:val="ListBullet"/>
        <w:ind w:left="567"/>
      </w:pPr>
      <w:r>
        <w:t xml:space="preserve">   5.4 Estrategias Mixtas</w:t>
      </w:r>
    </w:p>
    <w:p>
      <w:pPr>
        <w:pStyle w:val="ListBullet"/>
        <w:ind w:left="567"/>
      </w:pPr>
      <w:r>
        <w:t xml:space="preserve">   5.5 Fórmulas Clave</w:t>
      </w:r>
    </w:p>
    <w:p>
      <w:pPr>
        <w:ind w:left="0"/>
      </w:pPr>
      <w:r>
        <w:t>6. Módulo 3: Líneas de Espera (Teoría de Colas)</w:t>
      </w:r>
    </w:p>
    <w:p>
      <w:pPr>
        <w:pStyle w:val="ListBullet"/>
        <w:ind w:left="567"/>
      </w:pPr>
      <w:r>
        <w:t xml:space="preserve">   6.1 Contexto y Decisión Clave</w:t>
      </w:r>
    </w:p>
    <w:p>
      <w:pPr>
        <w:pStyle w:val="ListBullet"/>
        <w:ind w:left="567"/>
      </w:pPr>
      <w:r>
        <w:t xml:space="preserve">   6.2 Tres Escenarios</w:t>
      </w:r>
    </w:p>
    <w:p>
      <w:pPr>
        <w:pStyle w:val="ListBullet"/>
        <w:ind w:left="567"/>
      </w:pPr>
      <w:r>
        <w:t xml:space="preserve">   6.3 Fórmulas M/M/1 y M/M/2</w:t>
      </w:r>
    </w:p>
    <w:p>
      <w:pPr>
        <w:pStyle w:val="ListBullet"/>
        <w:ind w:left="567"/>
      </w:pPr>
      <w:r>
        <w:t xml:space="preserve">   6.4 Resultados de Referencia</w:t>
      </w:r>
    </w:p>
    <w:p>
      <w:pPr>
        <w:ind w:left="0"/>
      </w:pPr>
      <w:r>
        <w:t>7. Módulo 4: Programación de Proyectos — PERT/CPM</w:t>
      </w:r>
    </w:p>
    <w:p>
      <w:pPr>
        <w:pStyle w:val="ListBullet"/>
        <w:ind w:left="567"/>
      </w:pPr>
      <w:r>
        <w:t xml:space="preserve">   7.1 Contexto y Objetivos</w:t>
      </w:r>
    </w:p>
    <w:p>
      <w:pPr>
        <w:pStyle w:val="ListBullet"/>
        <w:ind w:left="567"/>
      </w:pPr>
      <w:r>
        <w:t xml:space="preserve">   7.2 Estructura de Tabs</w:t>
      </w:r>
    </w:p>
    <w:p>
      <w:pPr>
        <w:pStyle w:val="ListBullet"/>
        <w:ind w:left="567"/>
      </w:pPr>
      <w:r>
        <w:t xml:space="preserve">   7.3 Algoritmo y Procedimiento</w:t>
      </w:r>
    </w:p>
    <w:p>
      <w:pPr>
        <w:pStyle w:val="ListBullet"/>
        <w:ind w:left="567"/>
      </w:pPr>
      <w:r>
        <w:t xml:space="preserve">   7.4 Fórmulas Clave</w:t>
      </w:r>
    </w:p>
    <w:p>
      <w:pPr>
        <w:pStyle w:val="ListBullet"/>
        <w:ind w:left="567"/>
      </w:pPr>
      <w:r>
        <w:t xml:space="preserve">   7.5 Ejercicios Predefinidos</w:t>
      </w:r>
    </w:p>
    <w:p>
      <w:pPr>
        <w:pStyle w:val="ListBullet"/>
        <w:ind w:left="567"/>
      </w:pPr>
      <w:r>
        <w:t xml:space="preserve">   7.6 Red PERT/CPM</w:t>
      </w:r>
    </w:p>
    <w:p>
      <w:pPr>
        <w:ind w:left="0"/>
      </w:pPr>
      <w:r>
        <w:t>8. Características Transversales</w:t>
      </w:r>
    </w:p>
    <w:p>
      <w:pPr>
        <w:ind w:left="0"/>
      </w:pPr>
      <w:r>
        <w:t>9. Flujo de Uso</w:t>
      </w:r>
    </w:p>
    <w:p>
      <w:pPr>
        <w:ind w:left="0"/>
      </w:pPr>
      <w:r>
        <w:t>10. Requisitos de Ejecución</w:t>
      </w:r>
    </w:p>
    <w:p>
      <w:pPr>
        <w:ind w:left="0"/>
      </w:pPr>
      <w:r>
        <w:t>11. Limitaciones y Notas Técnicas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Descripción General</w:t>
      </w:r>
    </w:p>
    <w:p>
      <w:r>
        <w:t>Esta es una aplicación web interactiva de análisis de decisiones empresariales desarrollada para soportar la evaluación e implementación del Plan Estratégico de Tecnología de la Información (PETI) 2025-2028. Integra tres módulos especializados de investigación operativa:</w:t>
      </w:r>
    </w:p>
    <w:p>
      <w:pPr>
        <w:pStyle w:val="ListBullet"/>
      </w:pPr>
      <w:r>
        <w:t>Teoría de Decisiones de Bayes — Análisis bajo incertidumbre</w:t>
      </w:r>
    </w:p>
    <w:p>
      <w:pPr>
        <w:pStyle w:val="ListBullet"/>
      </w:pPr>
      <w:r>
        <w:t>Teoría de Juegos — Negociación estratégica entre JW y el Sindicato</w:t>
      </w:r>
    </w:p>
    <w:p>
      <w:pPr>
        <w:pStyle w:val="ListBullet"/>
      </w:pPr>
      <w:r>
        <w:t>Líneas de Espera — Optimización de operaciones de despacho logístico</w:t>
      </w:r>
    </w:p>
    <w:p>
      <w:pPr>
        <w:pStyle w:val="ListBullet"/>
      </w:pPr>
      <w:r>
        <w:t>PERT/CPM — Programación de proyectos y ruta crítica</w:t>
      </w:r>
    </w:p>
    <w:p>
      <w:pPr>
        <w:pStyle w:val="Heading1"/>
      </w:pPr>
      <w:r>
        <w:rPr>
          <w:color w:val="1F497D"/>
        </w:rP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Flask (Python)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 + Bootstrap 5 + Vanilla JS</w:t>
            </w:r>
          </w:p>
        </w:tc>
      </w:tr>
      <w:tr>
        <w:tc>
          <w:tcPr>
            <w:tcW w:type="dxa" w:w="4320"/>
          </w:tcPr>
          <w:p>
            <w:r>
              <w:t>Visualización</w:t>
            </w:r>
          </w:p>
        </w:tc>
        <w:tc>
          <w:tcPr>
            <w:tcW w:type="dxa" w:w="4320"/>
          </w:tcPr>
          <w:p>
            <w:r>
              <w:t>Plotly.js (gráficas interactivas), D3.js v7 (árbol de decisión)</w:t>
            </w:r>
          </w:p>
        </w:tc>
      </w:tr>
      <w:tr>
        <w:tc>
          <w:tcPr>
            <w:tcW w:type="dxa" w:w="4320"/>
          </w:tcPr>
          <w:p>
            <w:r>
              <w:t>Matemáticas</w:t>
            </w:r>
          </w:p>
        </w:tc>
        <w:tc>
          <w:tcPr>
            <w:tcW w:type="dxa" w:w="4320"/>
          </w:tcPr>
          <w:p>
            <w:r>
              <w:t>NumPy (Python), funciones puras</w:t>
            </w:r>
          </w:p>
        </w:tc>
      </w:tr>
      <w:tr>
        <w:tc>
          <w:tcPr>
            <w:tcW w:type="dxa" w:w="4320"/>
          </w:tcPr>
          <w:p>
            <w:r>
              <w:t>Exportación</w:t>
            </w:r>
          </w:p>
        </w:tc>
        <w:tc>
          <w:tcPr>
            <w:tcW w:type="dxa" w:w="4320"/>
          </w:tcPr>
          <w:p>
            <w:r>
              <w:t>html2pdf.js (descarga PDF)</w:t>
            </w:r>
          </w:p>
        </w:tc>
      </w:tr>
    </w:tbl>
    <w:p/>
    <w:p>
      <w:pPr>
        <w:pStyle w:val="Heading1"/>
      </w:pPr>
      <w:r>
        <w:rPr>
          <w:color w:val="1F497D"/>
        </w:rPr>
        <w:t>3. Estructura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Archivo / Carpeta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app_flask.py</w:t>
            </w:r>
          </w:p>
        </w:tc>
        <w:tc>
          <w:tcPr>
            <w:tcW w:type="dxa" w:w="4320"/>
          </w:tcPr>
          <w:p>
            <w:r>
              <w:t>Punto de entrada Flask</w:t>
            </w:r>
          </w:p>
        </w:tc>
      </w:tr>
      <w:tr>
        <w:tc>
          <w:tcPr>
            <w:tcW w:type="dxa" w:w="4320"/>
          </w:tcPr>
          <w:p>
            <w:r>
              <w:t>routes.py</w:t>
            </w:r>
          </w:p>
        </w:tc>
        <w:tc>
          <w:tcPr>
            <w:tcW w:type="dxa" w:w="4320"/>
          </w:tcPr>
          <w:p>
            <w:r>
              <w:t>Rutas HTTP (/compute, /compute_queueing, /compute_game_theory)</w:t>
            </w:r>
          </w:p>
        </w:tc>
      </w:tr>
      <w:tr>
        <w:tc>
          <w:tcPr>
            <w:tcW w:type="dxa" w:w="4320"/>
          </w:tcPr>
          <w:p>
            <w:r>
              <w:t>compute.py</w:t>
            </w:r>
          </w:p>
        </w:tc>
        <w:tc>
          <w:tcPr>
            <w:tcW w:type="dxa" w:w="4320"/>
          </w:tcPr>
          <w:p>
            <w:r>
              <w:t>Lógica de Teoría de Bayes</w:t>
            </w:r>
          </w:p>
        </w:tc>
      </w:tr>
      <w:tr>
        <w:tc>
          <w:tcPr>
            <w:tcW w:type="dxa" w:w="4320"/>
          </w:tcPr>
          <w:p>
            <w:r>
              <w:t>game_theory.py</w:t>
            </w:r>
          </w:p>
        </w:tc>
        <w:tc>
          <w:tcPr>
            <w:tcW w:type="dxa" w:w="4320"/>
          </w:tcPr>
          <w:p>
            <w:r>
              <w:t>Lógica de Teoría de Juegos</w:t>
            </w:r>
          </w:p>
        </w:tc>
      </w:tr>
      <w:tr>
        <w:tc>
          <w:tcPr>
            <w:tcW w:type="dxa" w:w="4320"/>
          </w:tcPr>
          <w:p>
            <w:r>
              <w:t>queueing.py</w:t>
            </w:r>
          </w:p>
        </w:tc>
        <w:tc>
          <w:tcPr>
            <w:tcW w:type="dxa" w:w="4320"/>
          </w:tcPr>
          <w:p>
            <w:r>
              <w:t>Lógica de Análisis de Colas</w:t>
            </w:r>
          </w:p>
        </w:tc>
      </w:tr>
      <w:tr>
        <w:tc>
          <w:tcPr>
            <w:tcW w:type="dxa" w:w="4320"/>
          </w:tcPr>
          <w:p>
            <w:r>
              <w:t>tree_render.py</w:t>
            </w:r>
          </w:p>
        </w:tc>
        <w:tc>
          <w:tcPr>
            <w:tcW w:type="dxa" w:w="4320"/>
          </w:tcPr>
          <w:p>
            <w:r>
              <w:t>Renderizado de árbol de decisión (graphviz → PNG)</w:t>
            </w:r>
          </w:p>
        </w:tc>
      </w:tr>
      <w:tr>
        <w:tc>
          <w:tcPr>
            <w:tcW w:type="dxa" w:w="4320"/>
          </w:tcPr>
          <w:p>
            <w:r>
              <w:t>templates/index.html</w:t>
            </w:r>
          </w:p>
        </w:tc>
        <w:tc>
          <w:tcPr>
            <w:tcW w:type="dxa" w:w="4320"/>
          </w:tcPr>
          <w:p>
            <w:r>
              <w:t>Interfaz única (HTML5 + Bootstrap)</w:t>
            </w:r>
          </w:p>
        </w:tc>
      </w:tr>
      <w:tr>
        <w:tc>
          <w:tcPr>
            <w:tcW w:type="dxa" w:w="4320"/>
          </w:tcPr>
          <w:p>
            <w:r>
              <w:t>static/css/style.css</w:t>
            </w:r>
          </w:p>
        </w:tc>
        <w:tc>
          <w:tcPr>
            <w:tcW w:type="dxa" w:w="4320"/>
          </w:tcPr>
          <w:p>
            <w:r>
              <w:t>Estilos personalizados</w:t>
            </w:r>
          </w:p>
        </w:tc>
      </w:tr>
      <w:tr>
        <w:tc>
          <w:tcPr>
            <w:tcW w:type="dxa" w:w="4320"/>
          </w:tcPr>
          <w:p>
            <w:r>
              <w:t>static/js/main.js</w:t>
            </w:r>
          </w:p>
        </w:tc>
        <w:tc>
          <w:tcPr>
            <w:tcW w:type="dxa" w:w="4320"/>
          </w:tcPr>
          <w:p>
            <w:r>
              <w:t>Lógica principal del frontend (2,000+ líneas)</w:t>
            </w:r>
          </w:p>
        </w:tc>
      </w:tr>
      <w:tr>
        <w:tc>
          <w:tcPr>
            <w:tcW w:type="dxa" w:w="4320"/>
          </w:tcPr>
          <w:p>
            <w:r>
              <w:t>static/js/tree-d3.js</w:t>
            </w:r>
          </w:p>
        </w:tc>
        <w:tc>
          <w:tcPr>
            <w:tcW w:type="dxa" w:w="4320"/>
          </w:tcPr>
          <w:p>
            <w:r>
              <w:t>Renderizado D3 del árbol de decisión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Dependencias Python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4. Módulo 1: Teoría de Decisiones de Bayes</w:t>
      </w:r>
    </w:p>
    <w:p>
      <w:pPr>
        <w:pStyle w:val="Heading2"/>
      </w:pPr>
      <w:r>
        <w:rPr>
          <w:color w:val="1F497D"/>
        </w:rPr>
        <w:t>4.1 Contexto y Propósito</w:t>
      </w:r>
    </w:p>
    <w:p>
      <w:r>
        <w:t>Este módulo analiza decisiones empresariales bajo incertidumbre utilizando la Teoría de Bayes. Es fundamental para la evaluación del PETI 2025-2028 porque permite cuantificar cómo la información adicional (estudios de mercado, pruebas técnicas) mejora la calidad de las decisiones de inversión tecnológica.</w:t>
      </w:r>
    </w:p>
    <w:p>
      <w:r>
        <w:t>Preguntas que responde:</w:t>
      </w:r>
    </w:p>
    <w:p>
      <w:pPr>
        <w:pStyle w:val="ListBullet"/>
      </w:pPr>
      <w:r>
        <w:t>¿Cuál alternativa maximiza el valor esperado?</w:t>
      </w:r>
    </w:p>
    <w:p>
      <w:pPr>
        <w:pStyle w:val="ListBullet"/>
      </w:pPr>
      <w:r>
        <w:t>¿Vale la pena realizar un estudio de mercado?</w:t>
      </w:r>
    </w:p>
    <w:p>
      <w:pPr>
        <w:pStyle w:val="ListBullet"/>
      </w:pPr>
      <w:r>
        <w:t>¿Cuánto puedo pagar por información adicional?</w:t>
      </w:r>
    </w:p>
    <w:p>
      <w:pPr>
        <w:pStyle w:val="Heading2"/>
      </w:pPr>
      <w:r>
        <w:rPr>
          <w:color w:val="1F497D"/>
        </w:rPr>
        <w:t>4.2 Funcionalidades y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Tab 1 – Variables</w:t>
            </w:r>
          </w:p>
        </w:tc>
        <w:tc>
          <w:tcPr>
            <w:tcW w:type="dxa" w:w="4320"/>
          </w:tcPr>
          <w:p>
            <w:r>
              <w:t>Definición de estados, probabilidades y tabla de pagos</w:t>
            </w:r>
          </w:p>
        </w:tc>
      </w:tr>
      <w:tr>
        <w:tc>
          <w:tcPr>
            <w:tcW w:type="dxa" w:w="4320"/>
          </w:tcPr>
          <w:p>
            <w:r>
              <w:t>Tab 2 – Tablas</w:t>
            </w:r>
          </w:p>
        </w:tc>
        <w:tc>
          <w:tcPr>
            <w:tcW w:type="dxa" w:w="4320"/>
          </w:tcPr>
          <w:p>
            <w:r>
              <w:t>Muestra 6 análisis de decisión (MAXIMAX, MAXIMIN, Regret, EV, Bayesiano, Muestral)</w:t>
            </w:r>
          </w:p>
        </w:tc>
      </w:tr>
      <w:tr>
        <w:tc>
          <w:tcPr>
            <w:tcW w:type="dxa" w:w="4320"/>
          </w:tcPr>
          <w:p>
            <w:r>
              <w:t>Tab 3 – Árbol de Bayes</w:t>
            </w:r>
          </w:p>
        </w:tc>
        <w:tc>
          <w:tcPr>
            <w:tcW w:type="dxa" w:w="4320"/>
          </w:tcPr>
          <w:p>
            <w:r>
              <w:t>Visualización gráfica interactiva del árbol de decisión</w:t>
            </w:r>
          </w:p>
        </w:tc>
      </w:tr>
      <w:tr>
        <w:tc>
          <w:tcPr>
            <w:tcW w:type="dxa" w:w="4320"/>
          </w:tcPr>
          <w:p>
            <w:r>
              <w:t>Tab 4 – Gráficas</w:t>
            </w:r>
          </w:p>
        </w:tc>
        <w:tc>
          <w:tcPr>
            <w:tcW w:type="dxa" w:w="4320"/>
          </w:tcPr>
          <w:p>
            <w:r>
              <w:t>Análisis de sensibilidad — cómo varía el EV con P(S1)</w:t>
            </w:r>
          </w:p>
        </w:tc>
      </w:tr>
      <w:tr>
        <w:tc>
          <w:tcPr>
            <w:tcW w:type="dxa" w:w="4320"/>
          </w:tcPr>
          <w:p>
            <w:r>
              <w:t>Tab 5 – Resumen</w:t>
            </w:r>
          </w:p>
        </w:tc>
        <w:tc>
          <w:tcPr>
            <w:tcW w:type="dxa" w:w="4320"/>
          </w:tcPr>
          <w:p>
            <w:r>
              <w:t>Síntesis ejecutiva con KPIs</w:t>
            </w:r>
          </w:p>
        </w:tc>
      </w:tr>
    </w:tbl>
    <w:p/>
    <w:p>
      <w:pPr>
        <w:pStyle w:val="Heading2"/>
      </w:pPr>
      <w:r>
        <w:rPr>
          <w:color w:val="1F497D"/>
        </w:rPr>
        <w:t>4.3 Fórmulas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P(F)</w:t>
            </w:r>
          </w:p>
        </w:tc>
        <w:tc>
          <w:tcPr>
            <w:tcW w:type="dxa" w:w="2880"/>
          </w:tcPr>
          <w:p>
            <w:r>
              <w:t>P(F|S1)·P(S1) + P(F|S2)·P(S2)</w:t>
            </w:r>
          </w:p>
        </w:tc>
        <w:tc>
          <w:tcPr>
            <w:tcW w:type="dxa" w:w="2880"/>
          </w:tcPr>
          <w:p>
            <w:r>
              <w:t>Ley total de probabilidad</w:t>
            </w:r>
          </w:p>
        </w:tc>
      </w:tr>
      <w:tr>
        <w:tc>
          <w:tcPr>
            <w:tcW w:type="dxa" w:w="2880"/>
          </w:tcPr>
          <w:p>
            <w:r>
              <w:t>P(S1|F)</w:t>
            </w:r>
          </w:p>
        </w:tc>
        <w:tc>
          <w:tcPr>
            <w:tcW w:type="dxa" w:w="2880"/>
          </w:tcPr>
          <w:p>
            <w:r>
              <w:t>P(F|S1)·P(S1) / P(F)</w:t>
            </w:r>
          </w:p>
        </w:tc>
        <w:tc>
          <w:tcPr>
            <w:tcW w:type="dxa" w:w="2880"/>
          </w:tcPr>
          <w:p>
            <w:r>
              <w:t>Teorema de Bayes</w:t>
            </w:r>
          </w:p>
        </w:tc>
      </w:tr>
      <w:tr>
        <w:tc>
          <w:tcPr>
            <w:tcW w:type="dxa" w:w="2880"/>
          </w:tcPr>
          <w:p>
            <w:r>
              <w:t>EV(Ai)</w:t>
            </w:r>
          </w:p>
        </w:tc>
        <w:tc>
          <w:tcPr>
            <w:tcW w:type="dxa" w:w="2880"/>
          </w:tcPr>
          <w:p>
            <w:r>
              <w:t>Σ V(Ai, Sj) · P(Sj)</w:t>
            </w:r>
          </w:p>
        </w:tc>
        <w:tc>
          <w:tcPr>
            <w:tcW w:type="dxa" w:w="2880"/>
          </w:tcPr>
          <w:p>
            <w:r>
              <w:t>Valor esperado</w:t>
            </w:r>
          </w:p>
        </w:tc>
      </w:tr>
      <w:tr>
        <w:tc>
          <w:tcPr>
            <w:tcW w:type="dxa" w:w="2880"/>
          </w:tcPr>
          <w:p>
            <w:r>
              <w:t>VE Muestral</w:t>
            </w:r>
          </w:p>
        </w:tc>
        <w:tc>
          <w:tcPr>
            <w:tcW w:type="dxa" w:w="2880"/>
          </w:tcPr>
          <w:p>
            <w:r>
              <w:t>EV|F · P(F) + EV|U · P(U)</w:t>
            </w:r>
          </w:p>
        </w:tc>
        <w:tc>
          <w:tcPr>
            <w:tcW w:type="dxa" w:w="2880"/>
          </w:tcPr>
          <w:p>
            <w:r>
              <w:t>VE con estudio</w:t>
            </w:r>
          </w:p>
        </w:tc>
      </w:tr>
      <w:tr>
        <w:tc>
          <w:tcPr>
            <w:tcW w:type="dxa" w:w="2880"/>
          </w:tcPr>
          <w:p>
            <w:r>
              <w:t>EVPI</w:t>
            </w:r>
          </w:p>
        </w:tc>
        <w:tc>
          <w:tcPr>
            <w:tcW w:type="dxa" w:w="2880"/>
          </w:tcPr>
          <w:p>
            <w:r>
              <w:t>EVwPI − EV(óptima)</w:t>
            </w:r>
          </w:p>
        </w:tc>
        <w:tc>
          <w:tcPr>
            <w:tcW w:type="dxa" w:w="2880"/>
          </w:tcPr>
          <w:p>
            <w:r>
              <w:t>Valor de información perfecta</w:t>
            </w:r>
          </w:p>
        </w:tc>
      </w:tr>
      <w:tr>
        <w:tc>
          <w:tcPr>
            <w:tcW w:type="dxa" w:w="2880"/>
          </w:tcPr>
          <w:p>
            <w:r>
              <w:t>EVSI</w:t>
            </w:r>
          </w:p>
        </w:tc>
        <w:tc>
          <w:tcPr>
            <w:tcW w:type="dxa" w:w="2880"/>
          </w:tcPr>
          <w:p>
            <w:r>
              <w:t>VE Muestral − EV(óptima)</w:t>
            </w:r>
          </w:p>
        </w:tc>
        <w:tc>
          <w:tcPr>
            <w:tcW w:type="dxa" w:w="2880"/>
          </w:tcPr>
          <w:p>
            <w:r>
              <w:t>Valor del estudio muestral</w:t>
            </w:r>
          </w:p>
        </w:tc>
      </w:tr>
    </w:tbl>
    <w:p/>
    <w:p>
      <w:pPr>
        <w:pStyle w:val="Heading2"/>
      </w:pPr>
      <w:r>
        <w:rPr>
          <w:color w:val="1F497D"/>
        </w:rPr>
        <w:t>4.4 KPIs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EV óptimo</w:t>
            </w:r>
          </w:p>
        </w:tc>
        <w:tc>
          <w:tcPr>
            <w:tcW w:type="dxa" w:w="4320"/>
          </w:tcPr>
          <w:p>
            <w:r>
              <w:t>Mejor valor esperado sin información adicional</w:t>
            </w:r>
          </w:p>
        </w:tc>
      </w:tr>
      <w:tr>
        <w:tc>
          <w:tcPr>
            <w:tcW w:type="dxa" w:w="4320"/>
          </w:tcPr>
          <w:p>
            <w:r>
              <w:t>EVPI</w:t>
            </w:r>
          </w:p>
        </w:tc>
        <w:tc>
          <w:tcPr>
            <w:tcW w:type="dxa" w:w="4320"/>
          </w:tcPr>
          <w:p>
            <w:r>
              <w:t>Máximo a pagar por información perfecta</w:t>
            </w:r>
          </w:p>
        </w:tc>
      </w:tr>
      <w:tr>
        <w:tc>
          <w:tcPr>
            <w:tcW w:type="dxa" w:w="4320"/>
          </w:tcPr>
          <w:p>
            <w:r>
              <w:t>EVSI</w:t>
            </w:r>
          </w:p>
        </w:tc>
        <w:tc>
          <w:tcPr>
            <w:tcW w:type="dxa" w:w="4320"/>
          </w:tcPr>
          <w:p>
            <w:r>
              <w:t>Máximo a pagar por el estudio muestral</w:t>
            </w:r>
          </w:p>
        </w:tc>
      </w:tr>
      <w:tr>
        <w:tc>
          <w:tcPr>
            <w:tcW w:type="dxa" w:w="4320"/>
          </w:tcPr>
          <w:p>
            <w:r>
              <w:t>Eficiencia</w:t>
            </w:r>
          </w:p>
        </w:tc>
        <w:tc>
          <w:tcPr>
            <w:tcW w:type="dxa" w:w="4320"/>
          </w:tcPr>
          <w:p>
            <w:r>
              <w:t>EVSI / EVPI × 100% — calidad del estudio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Módulo 2: Teoría de Juegos — Negociación Estratégica</w:t>
      </w:r>
    </w:p>
    <w:p>
      <w:pPr>
        <w:pStyle w:val="Heading2"/>
      </w:pPr>
      <w:r>
        <w:rPr>
          <w:color w:val="1F497D"/>
        </w:rPr>
        <w:t>5.1 Contexto Empresarial</w:t>
      </w:r>
    </w:p>
    <w:p>
      <w:r>
        <w:t>Este módulo modela la negociación estratégica entre JW (empresa) y el sindicato de trabajadores en el marco del PETI 2025-2028. Determina la viabilidad de la Alternativa B (Inversión Media — Proyecto TI-01) y el nivel de adopción digital esperado. Se trata de un juego de suma cero resuelto mediante reducción por dominancia y estrategias mixtas óptimas.</w:t>
      </w:r>
    </w:p>
    <w:p>
      <w:r>
        <w:rPr>
          <w:b/>
        </w:rPr>
        <w:t>Valor del juego: V = 17.5 millones de COP</w:t>
      </w:r>
    </w:p>
    <w:p>
      <w:pPr>
        <w:pStyle w:val="Heading2"/>
      </w:pPr>
      <w:r>
        <w:rPr>
          <w:color w:val="1F497D"/>
        </w:rPr>
        <w:t>5.2 Matriz de Pagos (Predeterminada)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JW \ Sindicato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U1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U2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U3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U4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p/>
    <w:p>
      <w:pPr>
        <w:pStyle w:val="Heading2"/>
      </w:pPr>
      <w:r>
        <w:rPr>
          <w:color w:val="1F497D"/>
        </w:rPr>
        <w:t>5.3 Reducción por Dominancia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t>Paso 1</w:t>
            </w:r>
          </w:p>
        </w:tc>
        <w:tc>
          <w:tcPr>
            <w:tcW w:type="dxa" w:w="4320"/>
          </w:tcPr>
          <w:p>
            <w:r>
              <w:t>Columna U2 dominada por U4 → eliminar U2</w:t>
            </w:r>
          </w:p>
        </w:tc>
      </w:tr>
      <w:tr>
        <w:tc>
          <w:tcPr>
            <w:tcW w:type="dxa" w:w="4320"/>
          </w:tcPr>
          <w:p>
            <w:r>
              <w:t>Paso 2</w:t>
            </w:r>
          </w:p>
        </w:tc>
        <w:tc>
          <w:tcPr>
            <w:tcW w:type="dxa" w:w="4320"/>
          </w:tcPr>
          <w:p>
            <w:r>
              <w:t>Columna U3 dominada por U4 → eliminar U3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Matriz reducida 2×2 (E1, E4 × U1, U4)</w:t>
            </w:r>
          </w:p>
        </w:tc>
      </w:tr>
    </w:tbl>
    <w:p/>
    <w:p>
      <w:pPr>
        <w:pStyle w:val="Heading2"/>
      </w:pPr>
      <w:r>
        <w:rPr>
          <w:color w:val="1F497D"/>
        </w:rPr>
        <w:t>5.4 Estrategias Mixtas Óptimas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Jugador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Estrategia óptima</w:t>
            </w:r>
          </w:p>
        </w:tc>
      </w:tr>
      <w:tr>
        <w:tc>
          <w:tcPr>
            <w:tcW w:type="dxa" w:w="4320"/>
          </w:tcPr>
          <w:p>
            <w:r>
              <w:t>JW</w:t>
            </w:r>
          </w:p>
        </w:tc>
        <w:tc>
          <w:tcPr>
            <w:tcW w:type="dxa" w:w="4320"/>
          </w:tcPr>
          <w:p>
            <w:r>
              <w:t>E1 (50%) y E4 (50%)</w:t>
            </w:r>
          </w:p>
        </w:tc>
      </w:tr>
      <w:tr>
        <w:tc>
          <w:tcPr>
            <w:tcW w:type="dxa" w:w="4320"/>
          </w:tcPr>
          <w:p>
            <w:r>
              <w:t>Sindicato</w:t>
            </w:r>
          </w:p>
        </w:tc>
        <w:tc>
          <w:tcPr>
            <w:tcW w:type="dxa" w:w="4320"/>
          </w:tcPr>
          <w:p>
            <w:r>
              <w:t>U1 (25%) y U4 (75%)</w:t>
            </w:r>
          </w:p>
        </w:tc>
      </w:tr>
      <w:tr>
        <w:tc>
          <w:tcPr>
            <w:tcW w:type="dxa" w:w="4320"/>
          </w:tcPr>
          <w:p>
            <w:r>
              <w:t>Valor del juego V</w:t>
            </w:r>
          </w:p>
        </w:tc>
        <w:tc>
          <w:tcPr>
            <w:tcW w:type="dxa" w:w="4320"/>
          </w:tcPr>
          <w:p>
            <w:r>
              <w:t>17.5 millones de COP</w:t>
            </w:r>
          </w:p>
        </w:tc>
      </w:tr>
    </w:tbl>
    <w:p/>
    <w:p>
      <w:pPr>
        <w:pStyle w:val="Heading2"/>
      </w:pPr>
      <w:r>
        <w:rPr>
          <w:color w:val="1F497D"/>
        </w:rPr>
        <w:t>5.5 Fórmulas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Fórmula</w:t>
            </w:r>
          </w:p>
        </w:tc>
      </w:tr>
      <w:tr>
        <w:tc>
          <w:tcPr>
            <w:tcW w:type="dxa" w:w="4320"/>
          </w:tcPr>
          <w:p>
            <w:r>
              <w:t>Dominancia columna (minimizador)</w:t>
            </w:r>
          </w:p>
        </w:tc>
        <w:tc>
          <w:tcPr>
            <w:tcW w:type="dxa" w:w="4320"/>
          </w:tcPr>
          <w:p>
            <w:r>
              <w:t>∀i: A[i] ≤ B[i] → eliminar B</w:t>
            </w:r>
          </w:p>
        </w:tc>
      </w:tr>
      <w:tr>
        <w:tc>
          <w:tcPr>
            <w:tcW w:type="dxa" w:w="4320"/>
          </w:tcPr>
          <w:p>
            <w:r>
              <w:t>Dominancia fila (maximizador)</w:t>
            </w:r>
          </w:p>
        </w:tc>
        <w:tc>
          <w:tcPr>
            <w:tcW w:type="dxa" w:w="4320"/>
          </w:tcPr>
          <w:p>
            <w:r>
              <w:t>∀j: A[j] ≥ B[j] → eliminar B</w:t>
            </w:r>
          </w:p>
        </w:tc>
      </w:tr>
      <w:tr>
        <w:tc>
          <w:tcPr>
            <w:tcW w:type="dxa" w:w="4320"/>
          </w:tcPr>
          <w:p>
            <w:r>
              <w:t>Indiferencia (q)</w:t>
            </w:r>
          </w:p>
        </w:tc>
        <w:tc>
          <w:tcPr>
            <w:tcW w:type="dxa" w:w="4320"/>
          </w:tcPr>
          <w:p>
            <w:r>
              <w:t>q = (d − b) / (a − b − c + d)</w:t>
            </w:r>
          </w:p>
        </w:tc>
      </w:tr>
      <w:tr>
        <w:tc>
          <w:tcPr>
            <w:tcW w:type="dxa" w:w="4320"/>
          </w:tcPr>
          <w:p>
            <w:r>
              <w:t>Indiferencia (p)</w:t>
            </w:r>
          </w:p>
        </w:tc>
        <w:tc>
          <w:tcPr>
            <w:tcW w:type="dxa" w:w="4320"/>
          </w:tcPr>
          <w:p>
            <w:r>
              <w:t>p = (d − c) / (a − b − c + d)</w:t>
            </w:r>
          </w:p>
        </w:tc>
      </w:tr>
      <w:tr>
        <w:tc>
          <w:tcPr>
            <w:tcW w:type="dxa" w:w="4320"/>
          </w:tcPr>
          <w:p>
            <w:r>
              <w:t>Valor del juego</w:t>
            </w:r>
          </w:p>
        </w:tc>
        <w:tc>
          <w:tcPr>
            <w:tcW w:type="dxa" w:w="4320"/>
          </w:tcPr>
          <w:p>
            <w:r>
              <w:t>V = a·p + c·(1−p)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6. Módulo 3: Líneas de Espera (Teoría de Colas)</w:t>
      </w:r>
    </w:p>
    <w:p>
      <w:pPr>
        <w:pStyle w:val="Heading2"/>
      </w:pPr>
      <w:r>
        <w:rPr>
          <w:color w:val="1F497D"/>
        </w:rPr>
        <w:t>6.1 Contexto y Decisión Clave</w:t>
      </w:r>
    </w:p>
    <w:p>
      <w:r>
        <w:t>Este módulo cuantifica el impacto de la inversión tecnológica (Alternativa B — PETI 2025-2028) en los tiempos de espera del sistema de despacho de vehículos. La tasa de llegada base es λ = 10 vehículos/hora. La decisión central es: ¿Invertir en tecnología (μ: 12→18) o agregar un servidor (c: 1→2)?</w:t>
      </w:r>
    </w:p>
    <w:p>
      <w:pPr>
        <w:pStyle w:val="Heading2"/>
      </w:pPr>
      <w:r>
        <w:rPr>
          <w:color w:val="1F497D"/>
        </w:rPr>
        <w:t>6.2 Tres Escenarios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 — Canal Simple (M/M/1 actual)</w:t>
            </w:r>
          </w:p>
        </w:tc>
        <w:tc>
          <w:tcPr>
            <w:tcW w:type="dxa" w:w="4320"/>
          </w:tcPr>
          <w:p>
            <w:r>
              <w:t>Sin inversión. μ = 12 veh/hora. Caso base.</w:t>
            </w:r>
          </w:p>
        </w:tc>
      </w:tr>
      <w:tr>
        <w:tc>
          <w:tcPr>
            <w:tcW w:type="dxa" w:w="4320"/>
          </w:tcPr>
          <w:p>
            <w:r>
              <w:t>B — Canal Mejorado (M/M/1 mejorado)</w:t>
            </w:r>
          </w:p>
        </w:tc>
        <w:tc>
          <w:tcPr>
            <w:tcW w:type="dxa" w:w="4320"/>
          </w:tcPr>
          <w:p>
            <w:r>
              <w:t>Con inversión tecnológica. μ = 18 veh/hora.</w:t>
            </w:r>
          </w:p>
        </w:tc>
      </w:tr>
      <w:tr>
        <w:tc>
          <w:tcPr>
            <w:tcW w:type="dxa" w:w="4320"/>
          </w:tcPr>
          <w:p>
            <w:r>
              <w:t>C — Canal Múltiple (M/M/2)</w:t>
            </w:r>
          </w:p>
        </w:tc>
        <w:tc>
          <w:tcPr>
            <w:tcW w:type="dxa" w:w="4320"/>
          </w:tcPr>
          <w:p>
            <w:r>
              <w:t>Agregar servidor. c = 2, μ = 12 veh/hora por servidor.</w:t>
            </w:r>
          </w:p>
        </w:tc>
      </w:tr>
    </w:tbl>
    <w:p/>
    <w:p>
      <w:pPr>
        <w:pStyle w:val="Heading2"/>
      </w:pPr>
      <w:r>
        <w:rPr>
          <w:color w:val="1F497D"/>
        </w:rPr>
        <w:t>6.3 Fórmulas M/M/1 y M/M/2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ρ (M/M/1)</w:t>
            </w:r>
          </w:p>
        </w:tc>
        <w:tc>
          <w:tcPr>
            <w:tcW w:type="dxa" w:w="2880"/>
          </w:tcPr>
          <w:p>
            <w:r>
              <w:t>λ/μ</w:t>
            </w:r>
          </w:p>
        </w:tc>
        <w:tc>
          <w:tcPr>
            <w:tcW w:type="dxa" w:w="2880"/>
          </w:tcPr>
          <w:p>
            <w:r>
              <w:t>Factor de utilización</w:t>
            </w:r>
          </w:p>
        </w:tc>
      </w:tr>
      <w:tr>
        <w:tc>
          <w:tcPr>
            <w:tcW w:type="dxa" w:w="2880"/>
          </w:tcPr>
          <w:p>
            <w:r>
              <w:t>P₀ (M/M/1)</w:t>
            </w:r>
          </w:p>
        </w:tc>
        <w:tc>
          <w:tcPr>
            <w:tcW w:type="dxa" w:w="2880"/>
          </w:tcPr>
          <w:p>
            <w:r>
              <w:t>1 − ρ</w:t>
            </w:r>
          </w:p>
        </w:tc>
        <w:tc>
          <w:tcPr>
            <w:tcW w:type="dxa" w:w="2880"/>
          </w:tcPr>
          <w:p>
            <w:r>
              <w:t>Probabilidad sistema vacío</w:t>
            </w:r>
          </w:p>
        </w:tc>
      </w:tr>
      <w:tr>
        <w:tc>
          <w:tcPr>
            <w:tcW w:type="dxa" w:w="2880"/>
          </w:tcPr>
          <w:p>
            <w:r>
              <w:t>L (M/M/1)</w:t>
            </w:r>
          </w:p>
        </w:tc>
        <w:tc>
          <w:tcPr>
            <w:tcW w:type="dxa" w:w="2880"/>
          </w:tcPr>
          <w:p>
            <w:r>
              <w:t>ρ/(1−ρ)</w:t>
            </w:r>
          </w:p>
        </w:tc>
        <w:tc>
          <w:tcPr>
            <w:tcW w:type="dxa" w:w="2880"/>
          </w:tcPr>
          <w:p>
            <w:r>
              <w:t>Clientes promedio en sistema</w:t>
            </w:r>
          </w:p>
        </w:tc>
      </w:tr>
      <w:tr>
        <w:tc>
          <w:tcPr>
            <w:tcW w:type="dxa" w:w="2880"/>
          </w:tcPr>
          <w:p>
            <w:r>
              <w:t>Lq (M/M/1)</w:t>
            </w:r>
          </w:p>
        </w:tc>
        <w:tc>
          <w:tcPr>
            <w:tcW w:type="dxa" w:w="2880"/>
          </w:tcPr>
          <w:p>
            <w:r>
              <w:t>ρ²/(1−ρ)</w:t>
            </w:r>
          </w:p>
        </w:tc>
        <w:tc>
          <w:tcPr>
            <w:tcW w:type="dxa" w:w="2880"/>
          </w:tcPr>
          <w:p>
            <w:r>
              <w:t>Clientes promedio en cola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L/λ</w:t>
            </w:r>
          </w:p>
        </w:tc>
        <w:tc>
          <w:tcPr>
            <w:tcW w:type="dxa" w:w="2880"/>
          </w:tcPr>
          <w:p>
            <w:r>
              <w:t>Tiempo promedio en sistema</w:t>
            </w:r>
          </w:p>
        </w:tc>
      </w:tr>
      <w:tr>
        <w:tc>
          <w:tcPr>
            <w:tcW w:type="dxa" w:w="2880"/>
          </w:tcPr>
          <w:p>
            <w:r>
              <w:t>Wq</w:t>
            </w:r>
          </w:p>
        </w:tc>
        <w:tc>
          <w:tcPr>
            <w:tcW w:type="dxa" w:w="2880"/>
          </w:tcPr>
          <w:p>
            <w:r>
              <w:t>Lq/λ</w:t>
            </w:r>
          </w:p>
        </w:tc>
        <w:tc>
          <w:tcPr>
            <w:tcW w:type="dxa" w:w="2880"/>
          </w:tcPr>
          <w:p>
            <w:r>
              <w:t>Tiempo promedio en cola</w:t>
            </w:r>
          </w:p>
        </w:tc>
      </w:tr>
      <w:tr>
        <w:tc>
          <w:tcPr>
            <w:tcW w:type="dxa" w:w="2880"/>
          </w:tcPr>
          <w:p>
            <w:r>
              <w:t>P₀ (M/M/2)</w:t>
            </w:r>
          </w:p>
        </w:tc>
        <w:tc>
          <w:tcPr>
            <w:tcW w:type="dxa" w:w="2880"/>
          </w:tcPr>
          <w:p>
            <w:r>
              <w:t>[1 + r + r²/(2(1−ρ))]⁻¹</w:t>
            </w:r>
          </w:p>
        </w:tc>
        <w:tc>
          <w:tcPr>
            <w:tcW w:type="dxa" w:w="2880"/>
          </w:tcPr>
          <w:p>
            <w:r>
              <w:t>Erlang-C, c=2</w:t>
            </w:r>
          </w:p>
        </w:tc>
      </w:tr>
      <w:tr>
        <w:tc>
          <w:tcPr>
            <w:tcW w:type="dxa" w:w="2880"/>
          </w:tcPr>
          <w:p>
            <w:r>
              <w:t>Lq (M/M/2)</w:t>
            </w:r>
          </w:p>
        </w:tc>
        <w:tc>
          <w:tcPr>
            <w:tcW w:type="dxa" w:w="2880"/>
          </w:tcPr>
          <w:p>
            <w:r>
              <w:t>P₀·r²·ρ / (2(1−ρ)²)</w:t>
            </w:r>
          </w:p>
        </w:tc>
        <w:tc>
          <w:tcPr>
            <w:tcW w:type="dxa" w:w="2880"/>
          </w:tcPr>
          <w:p>
            <w:r>
              <w:t>Cola en servidor dual</w:t>
            </w:r>
          </w:p>
        </w:tc>
      </w:tr>
    </w:tbl>
    <w:p/>
    <w:p>
      <w:pPr>
        <w:pStyle w:val="Heading2"/>
      </w:pPr>
      <w:r>
        <w:rPr>
          <w:color w:val="1F497D"/>
        </w:rPr>
        <w:t>6.4 Resultados de Referencia (λ = 10 veh/hora)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M/M/1 Actual (μ=12)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M/M/1 Mejorado (μ=18)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M/M/2 (c=2, μ=12)</w:t>
            </w:r>
          </w:p>
        </w:tc>
      </w:tr>
      <w:tr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0.833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  <w:tc>
          <w:tcPr>
            <w:tcW w:type="dxa" w:w="2160"/>
          </w:tcPr>
          <w:p>
            <w:r>
              <w:t>0.417</w:t>
            </w:r>
          </w:p>
        </w:tc>
      </w:tr>
      <w:tr>
        <w:tc>
          <w:tcPr>
            <w:tcW w:type="dxa" w:w="2160"/>
          </w:tcPr>
          <w:p>
            <w:r>
              <w:t>P₀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0.444</w:t>
            </w:r>
          </w:p>
        </w:tc>
        <w:tc>
          <w:tcPr>
            <w:tcW w:type="dxa" w:w="2160"/>
          </w:tcPr>
          <w:p>
            <w:r>
              <w:t>0.410</w:t>
            </w:r>
          </w:p>
        </w:tc>
      </w:tr>
      <w:tr>
        <w:tc>
          <w:tcPr>
            <w:tcW w:type="dxa" w:w="2160"/>
          </w:tcPr>
          <w:p>
            <w:r>
              <w:t>L (sistema)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2160"/>
          </w:tcPr>
          <w:p>
            <w:r>
              <w:t>Lq (cola)</w:t>
            </w:r>
          </w:p>
        </w:tc>
        <w:tc>
          <w:tcPr>
            <w:tcW w:type="dxa" w:w="2160"/>
          </w:tcPr>
          <w:p>
            <w:r>
              <w:t>4.17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  <w:tr>
        <w:tc>
          <w:tcPr>
            <w:tcW w:type="dxa" w:w="2160"/>
          </w:tcPr>
          <w:p>
            <w:r>
              <w:t>W (horas)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Wq (horas)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</w:tbl>
    <w:p/>
    <w:p>
      <w:r>
        <w:t>Conclusión automática del módulo: "El escenario Canal Mejorado es el más eficiente: W = 0.1296 h (7.8 min) por vehículo, con L = 1.2963 y ρ = 0.5556. Se recomienda su implementación para el horizonte PETI 2025-2028."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Módulo 4: Programación de Proyectos — PERT/CPM</w:t>
      </w:r>
    </w:p>
    <w:p>
      <w:pPr>
        <w:pStyle w:val="Heading2"/>
      </w:pPr>
      <w:r>
        <w:rPr>
          <w:color w:val="1F497D"/>
        </w:rPr>
        <w:t>7.1 Contexto y Objetivos</w:t>
      </w:r>
    </w:p>
    <w:p>
      <w:r>
        <w:t>Este módulo aplica la metodología PERT/CPM para la planificación de proyectos logísticos asociados al PETI 2025-2028. El objetivo es modelar y optimizar la implementación de un nuevo nodo logístico y tecnológico dentro de la organización, identificando actividades críticas, calculando tiempos mínimos de ejecución y detectando retrasos potenciales.</w:t>
      </w:r>
    </w:p>
    <w:p>
      <w:r>
        <w:t>Preguntas que responde:</w:t>
      </w:r>
    </w:p>
    <w:p>
      <w:pPr>
        <w:pStyle w:val="ListBullet"/>
      </w:pPr>
      <w:r>
        <w:t>¿Cuál es la duración mínima del proyecto?</w:t>
      </w:r>
    </w:p>
    <w:p>
      <w:pPr>
        <w:pStyle w:val="ListBullet"/>
      </w:pPr>
      <w:r>
        <w:t>¿Qué actividades no pueden retrasarse sin afectar la fecha final?</w:t>
      </w:r>
    </w:p>
    <w:p>
      <w:pPr>
        <w:pStyle w:val="ListBullet"/>
      </w:pPr>
      <w:r>
        <w:t>¿Cuánto margen de flexibilidad tiene cada actividad no crítica?</w:t>
      </w:r>
    </w:p>
    <w:p>
      <w:pPr>
        <w:pStyle w:val="ListBullet"/>
      </w:pPr>
      <w:r>
        <w:t>¿Cuál es la secuencia óptima de ejecución del proyecto?</w:t>
      </w:r>
    </w:p>
    <w:p>
      <w:pPr>
        <w:pStyle w:val="Heading2"/>
      </w:pPr>
      <w:r>
        <w:rPr>
          <w:color w:val="1F497D"/>
        </w:rPr>
        <w:t>7.2 Estructura de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Tab 1 – Actividades</w:t>
            </w:r>
          </w:p>
        </w:tc>
        <w:tc>
          <w:tcPr>
            <w:tcW w:type="dxa" w:w="4320"/>
          </w:tcPr>
          <w:p>
            <w:r>
              <w:t>Tabla editable de actividades con presets. Botón Calcular ejecuta el análisis completo.</w:t>
            </w:r>
          </w:p>
        </w:tc>
      </w:tr>
      <w:tr>
        <w:tc>
          <w:tcPr>
            <w:tcW w:type="dxa" w:w="4320"/>
          </w:tcPr>
          <w:p>
            <w:r>
              <w:t>Tab 2 – Forward Pass</w:t>
            </w:r>
          </w:p>
        </w:tc>
        <w:tc>
          <w:tcPr>
            <w:tcW w:type="dxa" w:w="4320"/>
          </w:tcPr>
          <w:p>
            <w:r>
              <w:t>Tabla IP/TP por actividad. Filas críticas resaltadas en rojo.</w:t>
            </w:r>
          </w:p>
        </w:tc>
      </w:tr>
      <w:tr>
        <w:tc>
          <w:tcPr>
            <w:tcW w:type="dxa" w:w="4320"/>
          </w:tcPr>
          <w:p>
            <w:r>
              <w:t>Tab 3 – Backward Pass</w:t>
            </w:r>
          </w:p>
        </w:tc>
        <w:tc>
          <w:tcPr>
            <w:tcW w:type="dxa" w:w="4320"/>
          </w:tcPr>
          <w:p>
            <w:r>
              <w:t>Tabla TL/IL por actividad en orden inverso al topológico.</w:t>
            </w:r>
          </w:p>
        </w:tc>
      </w:tr>
      <w:tr>
        <w:tc>
          <w:tcPr>
            <w:tcW w:type="dxa" w:w="4320"/>
          </w:tcPr>
          <w:p>
            <w:r>
              <w:t>Tab 4 – Holguras</w:t>
            </w:r>
          </w:p>
        </w:tc>
        <w:tc>
          <w:tcPr>
            <w:tcW w:type="dxa" w:w="4320"/>
          </w:tcPr>
          <w:p>
            <w:r>
              <w:t>Tabla H=IL−IP con badge Crítica/No. Alerta con ruta crítica y duración total.</w:t>
            </w:r>
          </w:p>
        </w:tc>
      </w:tr>
      <w:tr>
        <w:tc>
          <w:tcPr>
            <w:tcW w:type="dxa" w:w="4320"/>
          </w:tcPr>
          <w:p>
            <w:r>
              <w:t>Tab 5 – Red PERT</w:t>
            </w:r>
          </w:p>
        </w:tc>
        <w:tc>
          <w:tcPr>
            <w:tcW w:type="dxa" w:w="4320"/>
          </w:tcPr>
          <w:p>
            <w:r>
              <w:t>Diagrama de red interactivo (Plotly) con nodos PERT clásicos: IP|ID|TP y IL|H|TL.</w:t>
            </w:r>
          </w:p>
        </w:tc>
      </w:tr>
    </w:tbl>
    <w:p/>
    <w:p>
      <w:pPr>
        <w:pStyle w:val="Heading2"/>
      </w:pPr>
      <w:r>
        <w:rPr>
          <w:color w:val="1F497D"/>
        </w:rPr>
        <w:t>7.3 Algoritmo y Procedimiento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Ordenamiento Topológico</w:t>
            </w:r>
          </w:p>
        </w:tc>
        <w:tc>
          <w:tcPr>
            <w:tcW w:type="dxa" w:w="4320"/>
          </w:tcPr>
          <w:p>
            <w:r>
              <w:t>Algoritmo de Kahn (BFS) para determinar el orden de ejecución de actividades sin ciclos.</w:t>
            </w:r>
          </w:p>
        </w:tc>
      </w:tr>
      <w:tr>
        <w:tc>
          <w:tcPr>
            <w:tcW w:type="dxa" w:w="4320"/>
          </w:tcPr>
          <w:p>
            <w:r>
              <w:t>Forward Pass</w:t>
            </w:r>
          </w:p>
        </w:tc>
        <w:tc>
          <w:tcPr>
            <w:tcW w:type="dxa" w:w="4320"/>
          </w:tcPr>
          <w:p>
            <w:r>
              <w:t>Recorrido de izquierda a derecha. IP = max(TP de predecesores); TP = IP + Duración.</w:t>
            </w:r>
          </w:p>
        </w:tc>
      </w:tr>
      <w:tr>
        <w:tc>
          <w:tcPr>
            <w:tcW w:type="dxa" w:w="4320"/>
          </w:tcPr>
          <w:p>
            <w:r>
              <w:t>Backward Pass</w:t>
            </w:r>
          </w:p>
        </w:tc>
        <w:tc>
          <w:tcPr>
            <w:tcW w:type="dxa" w:w="4320"/>
          </w:tcPr>
          <w:p>
            <w:r>
              <w:t>Recorrido de derecha a izquierda. TL = min(IL de sucesoras); IL = TL − Duración.</w:t>
            </w:r>
          </w:p>
        </w:tc>
      </w:tr>
      <w:tr>
        <w:tc>
          <w:tcPr>
            <w:tcW w:type="dxa" w:w="4320"/>
          </w:tcPr>
          <w:p>
            <w:r>
              <w:t>Holgura</w:t>
            </w:r>
          </w:p>
        </w:tc>
        <w:tc>
          <w:tcPr>
            <w:tcW w:type="dxa" w:w="4320"/>
          </w:tcPr>
          <w:p>
            <w:r>
              <w:t>H = IL − IP. Si H = 0, la actividad es crítica.</w:t>
            </w:r>
          </w:p>
        </w:tc>
      </w:tr>
      <w:tr>
        <w:tc>
          <w:tcPr>
            <w:tcW w:type="dxa" w:w="4320"/>
          </w:tcPr>
          <w:p>
            <w:r>
              <w:t>Ruta Crítica</w:t>
            </w:r>
          </w:p>
        </w:tc>
        <w:tc>
          <w:tcPr>
            <w:tcW w:type="dxa" w:w="4320"/>
          </w:tcPr>
          <w:p>
            <w:r>
              <w:t>Secuencia de actividades con H = 0. Determina la duración mínima del proyecto.</w:t>
            </w:r>
          </w:p>
        </w:tc>
      </w:tr>
    </w:tbl>
    <w:p/>
    <w:p>
      <w:pPr>
        <w:pStyle w:val="Heading2"/>
      </w:pPr>
      <w:r>
        <w:rPr>
          <w:color w:val="1F497D"/>
        </w:rPr>
        <w:t>7.4 Fórmulas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IP (Inicio Próximo)</w:t>
            </w:r>
          </w:p>
        </w:tc>
        <w:tc>
          <w:tcPr>
            <w:tcW w:type="dxa" w:w="2880"/>
          </w:tcPr>
          <w:p>
            <w:r>
              <w:t>max(TP de predecesores)</w:t>
            </w:r>
          </w:p>
        </w:tc>
        <w:tc>
          <w:tcPr>
            <w:tcW w:type="dxa" w:w="2880"/>
          </w:tcPr>
          <w:p>
            <w:r>
              <w:t>Tiempo más temprano de inicio</w:t>
            </w:r>
          </w:p>
        </w:tc>
      </w:tr>
      <w:tr>
        <w:tc>
          <w:tcPr>
            <w:tcW w:type="dxa" w:w="2880"/>
          </w:tcPr>
          <w:p>
            <w:r>
              <w:t>TP (Terminación Próxima)</w:t>
            </w:r>
          </w:p>
        </w:tc>
        <w:tc>
          <w:tcPr>
            <w:tcW w:type="dxa" w:w="2880"/>
          </w:tcPr>
          <w:p>
            <w:r>
              <w:t>IP + Duración</w:t>
            </w:r>
          </w:p>
        </w:tc>
        <w:tc>
          <w:tcPr>
            <w:tcW w:type="dxa" w:w="2880"/>
          </w:tcPr>
          <w:p>
            <w:r>
              <w:t>Tiempo más temprano de finalización</w:t>
            </w:r>
          </w:p>
        </w:tc>
      </w:tr>
      <w:tr>
        <w:tc>
          <w:tcPr>
            <w:tcW w:type="dxa" w:w="2880"/>
          </w:tcPr>
          <w:p>
            <w:r>
              <w:t>TL (Terminación Lejana)</w:t>
            </w:r>
          </w:p>
        </w:tc>
        <w:tc>
          <w:tcPr>
            <w:tcW w:type="dxa" w:w="2880"/>
          </w:tcPr>
          <w:p>
            <w:r>
              <w:t>min(IL de sucesoras)</w:t>
            </w:r>
          </w:p>
        </w:tc>
        <w:tc>
          <w:tcPr>
            <w:tcW w:type="dxa" w:w="2880"/>
          </w:tcPr>
          <w:p>
            <w:r>
              <w:t>Último tiempo posible de finalización</w:t>
            </w:r>
          </w:p>
        </w:tc>
      </w:tr>
      <w:tr>
        <w:tc>
          <w:tcPr>
            <w:tcW w:type="dxa" w:w="2880"/>
          </w:tcPr>
          <w:p>
            <w:r>
              <w:t>IL (Inicio Lejano)</w:t>
            </w:r>
          </w:p>
        </w:tc>
        <w:tc>
          <w:tcPr>
            <w:tcW w:type="dxa" w:w="2880"/>
          </w:tcPr>
          <w:p>
            <w:r>
              <w:t>TL − Duración</w:t>
            </w:r>
          </w:p>
        </w:tc>
        <w:tc>
          <w:tcPr>
            <w:tcW w:type="dxa" w:w="2880"/>
          </w:tcPr>
          <w:p>
            <w:r>
              <w:t>Último tiempo posible de inicio</w:t>
            </w:r>
          </w:p>
        </w:tc>
      </w:tr>
      <w:tr>
        <w:tc>
          <w:tcPr>
            <w:tcW w:type="dxa" w:w="2880"/>
          </w:tcPr>
          <w:p>
            <w:r>
              <w:t>Holgura (H)</w:t>
            </w:r>
          </w:p>
        </w:tc>
        <w:tc>
          <w:tcPr>
            <w:tcW w:type="dxa" w:w="2880"/>
          </w:tcPr>
          <w:p>
            <w:r>
              <w:t>IL − IP</w:t>
            </w:r>
          </w:p>
        </w:tc>
        <w:tc>
          <w:tcPr>
            <w:tcW w:type="dxa" w:w="2880"/>
          </w:tcPr>
          <w:p>
            <w:r>
              <w:t>Margen de flexibilidad de la actividad</w:t>
            </w:r>
          </w:p>
        </w:tc>
      </w:tr>
      <w:tr>
        <w:tc>
          <w:tcPr>
            <w:tcW w:type="dxa" w:w="2880"/>
          </w:tcPr>
          <w:p>
            <w:r>
              <w:t>Ruta Crítica</w:t>
            </w:r>
          </w:p>
        </w:tc>
        <w:tc>
          <w:tcPr>
            <w:tcW w:type="dxa" w:w="2880"/>
          </w:tcPr>
          <w:p>
            <w:r>
              <w:t>H = 0</w:t>
            </w:r>
          </w:p>
        </w:tc>
        <w:tc>
          <w:tcPr>
            <w:tcW w:type="dxa" w:w="2880"/>
          </w:tcPr>
          <w:p>
            <w:r>
              <w:t>Actividades que determinan la duración del proyecto</w:t>
            </w:r>
          </w:p>
        </w:tc>
      </w:tr>
    </w:tbl>
    <w:p/>
    <w:p>
      <w:pPr>
        <w:pStyle w:val="Heading2"/>
      </w:pPr>
      <w:r>
        <w:rPr>
          <w:color w:val="1F497D"/>
        </w:rPr>
        <w:t>7.5 Ejercicios Predefinidos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Ejercicio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Actividades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Duración total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Ruta crítica</w:t>
            </w:r>
          </w:p>
        </w:tc>
      </w:tr>
      <w:tr>
        <w:tc>
          <w:tcPr>
            <w:tcW w:type="dxa" w:w="2160"/>
          </w:tcPr>
          <w:p>
            <w:r>
              <w:t>Proyecto Logístico (A–H)</w:t>
            </w:r>
          </w:p>
        </w:tc>
        <w:tc>
          <w:tcPr>
            <w:tcW w:type="dxa" w:w="2160"/>
          </w:tcPr>
          <w:p>
            <w:r>
              <w:t>8 actividades</w:t>
            </w:r>
          </w:p>
        </w:tc>
        <w:tc>
          <w:tcPr>
            <w:tcW w:type="dxa" w:w="2160"/>
          </w:tcPr>
          <w:p>
            <w:r>
              <w:t>21 días</w:t>
            </w:r>
          </w:p>
        </w:tc>
        <w:tc>
          <w:tcPr>
            <w:tcW w:type="dxa" w:w="2160"/>
          </w:tcPr>
          <w:p>
            <w:r>
              <w:t>A → C → F → H</w:t>
            </w:r>
          </w:p>
        </w:tc>
      </w:tr>
      <w:tr>
        <w:tc>
          <w:tcPr>
            <w:tcW w:type="dxa" w:w="2160"/>
          </w:tcPr>
          <w:p>
            <w:r>
              <w:t>Automatización Inventarios RFID (I–P)</w:t>
            </w:r>
          </w:p>
        </w:tc>
        <w:tc>
          <w:tcPr>
            <w:tcW w:type="dxa" w:w="2160"/>
          </w:tcPr>
          <w:p>
            <w:r>
              <w:t>8 actividades</w:t>
            </w:r>
          </w:p>
        </w:tc>
        <w:tc>
          <w:tcPr>
            <w:tcW w:type="dxa" w:w="2160"/>
          </w:tcPr>
          <w:p>
            <w:r>
              <w:t>21 días</w:t>
            </w:r>
          </w:p>
        </w:tc>
        <w:tc>
          <w:tcPr>
            <w:tcW w:type="dxa" w:w="2160"/>
          </w:tcPr>
          <w:p>
            <w:r>
              <w:t>I → K → L → M → O → P</w:t>
            </w:r>
          </w:p>
        </w:tc>
      </w:tr>
    </w:tbl>
    <w:p/>
    <w:p>
      <w:pPr>
        <w:pStyle w:val="Heading2"/>
      </w:pPr>
      <w:r>
        <w:rPr>
          <w:color w:val="1F497D"/>
        </w:rPr>
        <w:t>7.6 Red PERT/CPM — Estructura de Nodos</w:t>
      </w:r>
    </w:p>
    <w:p>
      <w:r>
        <w:t>El diagrama de red presenta cada actividad como un nodo rectangular con tres filas: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Fila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t>Fila superior</w:t>
            </w:r>
          </w:p>
        </w:tc>
        <w:tc>
          <w:tcPr>
            <w:tcW w:type="dxa" w:w="2880"/>
          </w:tcPr>
          <w:p>
            <w:r>
              <w:t>IP | ID de actividad | TP</w:t>
            </w:r>
          </w:p>
        </w:tc>
        <w:tc>
          <w:tcPr>
            <w:tcW w:type="dxa" w:w="2880"/>
          </w:tcPr>
          <w:p>
            <w:r>
              <w:t>Tiempos tempranos e identificador</w:t>
            </w:r>
          </w:p>
        </w:tc>
      </w:tr>
      <w:tr>
        <w:tc>
          <w:tcPr>
            <w:tcW w:type="dxa" w:w="2880"/>
          </w:tcPr>
          <w:p>
            <w:r>
              <w:t>Fila media</w:t>
            </w:r>
          </w:p>
        </w:tc>
        <w:tc>
          <w:tcPr>
            <w:tcW w:type="dxa" w:w="2880"/>
          </w:tcPr>
          <w:p>
            <w:r>
              <w:t>Descripción truncada (20 chars)</w:t>
            </w:r>
          </w:p>
        </w:tc>
        <w:tc>
          <w:tcPr>
            <w:tcW w:type="dxa" w:w="2880"/>
          </w:tcPr>
          <w:p>
            <w:r>
              <w:t>Nombre de la actividad</w:t>
            </w:r>
          </w:p>
        </w:tc>
      </w:tr>
      <w:tr>
        <w:tc>
          <w:tcPr>
            <w:tcW w:type="dxa" w:w="2880"/>
          </w:tcPr>
          <w:p>
            <w:r>
              <w:t>Fila inferior</w:t>
            </w:r>
          </w:p>
        </w:tc>
        <w:tc>
          <w:tcPr>
            <w:tcW w:type="dxa" w:w="2880"/>
          </w:tcPr>
          <w:p>
            <w:r>
              <w:t>IL | H=n | TL</w:t>
            </w:r>
          </w:p>
        </w:tc>
        <w:tc>
          <w:tcPr>
            <w:tcW w:type="dxa" w:w="2880"/>
          </w:tcPr>
          <w:p>
            <w:r>
              <w:t>Tiempos lejanos y holgura</w:t>
            </w:r>
          </w:p>
        </w:tc>
      </w:tr>
    </w:tbl>
    <w:p/>
    <w:p>
      <w:r>
        <w:t>Código de colores: nodos en rojo (#dc3545) pertenecen a la ruta crítica (H=0); nodos en azul (#0d6efd) tienen holgura (H&gt;0). Las flechas rojas gruesas indican aristas de la ruta crítica. El tooltip al pasar el cursor muestra todos los valores IP, TP, IL, TL y Holgura de la actividad.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Características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Glosario interactivo</w:t>
            </w:r>
          </w:p>
        </w:tc>
        <w:tc>
          <w:tcPr>
            <w:tcW w:type="dxa" w:w="4320"/>
          </w:tcPr>
          <w:p>
            <w:r>
              <w:t>Cada módulo dispone de un botón "Glosario" que abre un modal con definiciones, fórmulas y pasos de uso.</w:t>
            </w:r>
          </w:p>
        </w:tc>
      </w:tr>
      <w:tr>
        <w:tc>
          <w:tcPr>
            <w:tcW w:type="dxa" w:w="4320"/>
          </w:tcPr>
          <w:p>
            <w:r>
              <w:t>Exportación a PDF</w:t>
            </w:r>
          </w:p>
        </w:tc>
        <w:tc>
          <w:tcPr>
            <w:tcW w:type="dxa" w:w="4320"/>
          </w:tcPr>
          <w:p>
            <w:r>
              <w:t>Botón "Descargar PDF" en cada tab-pane usando html2pdf.js. Exporta tablas, gráficas y conclusiones.</w:t>
            </w:r>
          </w:p>
        </w:tc>
      </w:tr>
      <w:tr>
        <w:tc>
          <w:tcPr>
            <w:tcW w:type="dxa" w:w="4320"/>
          </w:tcPr>
          <w:p>
            <w:r>
              <w:t>Interfaz responsive</w:t>
            </w:r>
          </w:p>
        </w:tc>
        <w:tc>
          <w:tcPr>
            <w:tcW w:type="dxa" w:w="4320"/>
          </w:tcPr>
          <w:p>
            <w:r>
              <w:t>Sidebar colapsable en móviles, tablas scrolleables y gráficas responsivas.</w:t>
            </w:r>
          </w:p>
        </w:tc>
      </w:tr>
      <w:tr>
        <w:tc>
          <w:tcPr>
            <w:tcW w:type="dxa" w:w="4320"/>
          </w:tcPr>
          <w:p>
            <w:r>
              <w:t>Validación y alertas</w:t>
            </w:r>
          </w:p>
        </w:tc>
        <w:tc>
          <w:tcPr>
            <w:tcW w:type="dxa" w:w="4320"/>
          </w:tcPr>
          <w:p>
            <w:r>
              <w:t>Validación ρ &lt; 1 para colas, alerta de matriz degenerada en juegos, mensajes de error amigables.</w:t>
            </w:r>
          </w:p>
        </w:tc>
      </w:tr>
    </w:tbl>
    <w:p/>
    <w:p>
      <w:pPr>
        <w:pStyle w:val="Heading1"/>
      </w:pPr>
      <w:r>
        <w:rPr>
          <w:color w:val="1F497D"/>
        </w:rPr>
        <w:t>9. Flujo de Uso Típico</w:t>
      </w:r>
    </w:p>
    <w:p>
      <w:pPr>
        <w:pStyle w:val="Heading2"/>
      </w:pPr>
      <w:r>
        <w:rPr>
          <w:color w:val="1F497D"/>
        </w:rPr>
        <w:t>9.1 Usuario Empresarial</w:t>
      </w:r>
    </w:p>
    <w:p>
      <w:pPr>
        <w:pStyle w:val="ListNumber"/>
      </w:pPr>
      <w:r>
        <w:t>Abrir la aplicación web.</w:t>
      </w:r>
    </w:p>
    <w:p>
      <w:pPr>
        <w:pStyle w:val="ListNumber"/>
      </w:pPr>
      <w:r>
        <w:t>Seleccionar módulo (Bayes, Juegos o Colas) en la barra lateral.</w:t>
      </w:r>
    </w:p>
    <w:p>
      <w:pPr>
        <w:pStyle w:val="ListNumber"/>
      </w:pPr>
      <w:r>
        <w:t>Ingresar parámetros: probabilidades, matriz de pagos, λ, μ.</w:t>
      </w:r>
    </w:p>
    <w:p>
      <w:pPr>
        <w:pStyle w:val="ListNumber"/>
      </w:pPr>
      <w:r>
        <w:t>Hacer clic en "Calcular".</w:t>
      </w:r>
    </w:p>
    <w:p>
      <w:pPr>
        <w:pStyle w:val="ListNumber"/>
      </w:pPr>
      <w:r>
        <w:t>Revisar tablas, gráficas y árbol de decisión.</w:t>
      </w:r>
    </w:p>
    <w:p>
      <w:pPr>
        <w:pStyle w:val="ListNumber"/>
      </w:pPr>
      <w:r>
        <w:t>Leer conclusión y recomendaciones.</w:t>
      </w:r>
    </w:p>
    <w:p>
      <w:pPr>
        <w:pStyle w:val="ListNumber"/>
      </w:pPr>
      <w:r>
        <w:t>Descargar PDF con el análisis.</w:t>
      </w:r>
    </w:p>
    <w:p>
      <w:pPr>
        <w:pStyle w:val="ListNumber"/>
      </w:pPr>
      <w:r>
        <w:t>Tomar decisión respecto al PETI 2025-2028.</w:t>
      </w:r>
    </w:p>
    <w:p>
      <w:pPr>
        <w:pStyle w:val="Heading2"/>
      </w:pPr>
      <w:r>
        <w:rPr>
          <w:color w:val="1F497D"/>
        </w:rPr>
        <w:t>9.2 Desarrollador</w:t>
      </w:r>
    </w:p>
    <w:p>
      <w:pPr>
        <w:pStyle w:val="ListNumber"/>
      </w:pPr>
      <w:r>
        <w:t>Modificar parámetros en compute.py, game_theory.py o queueing.py.</w:t>
      </w:r>
    </w:p>
    <w:p>
      <w:pPr>
        <w:pStyle w:val="ListNumber"/>
      </w:pPr>
      <w:r>
        <w:t>Agregar nuevas rutas en routes.py.</w:t>
      </w:r>
    </w:p>
    <w:p>
      <w:pPr>
        <w:pStyle w:val="ListNumber"/>
      </w:pPr>
      <w:r>
        <w:t>Actualizar main.js para renderizar nuevos campos.</w:t>
      </w:r>
    </w:p>
    <w:p>
      <w:pPr>
        <w:pStyle w:val="ListNumber"/>
      </w:pPr>
      <w:r>
        <w:t>Actualizar style.css si hay nuevos estilos.</w:t>
      </w:r>
    </w:p>
    <w:p>
      <w:pPr>
        <w:pStyle w:val="ListNumber"/>
      </w:pPr>
      <w:r>
        <w:t>Ejecutar tests y verificar en el navegador.</w:t>
      </w:r>
    </w:p>
    <w:p>
      <w:pPr>
        <w:pStyle w:val="Heading1"/>
      </w:pPr>
      <w:r>
        <w:rPr>
          <w:color w:val="1F497D"/>
        </w:rPr>
        <w:t>10. Requisitos de Ejecución</w:t>
      </w:r>
    </w:p>
    <w:p>
      <w:pPr>
        <w:pStyle w:val="Heading2"/>
      </w:pPr>
      <w:r>
        <w:rPr>
          <w:color w:val="1F497D"/>
        </w:rPr>
        <w:t>10.1 Backend</w:t>
      </w:r>
    </w:p>
    <w:p>
      <w:r>
        <w:t>Python 3.x con las siguientes dependencias (requirements.txt):</w:t>
      </w:r>
    </w:p>
    <w:p>
      <w:pPr>
        <w:pStyle w:val="ListBullet"/>
      </w:pPr>
      <w:r>
        <w:t>Flask</w:t>
      </w:r>
    </w:p>
    <w:p>
      <w:pPr>
        <w:pStyle w:val="ListBullet"/>
      </w:pPr>
      <w:r>
        <w:t>NumPy</w:t>
      </w:r>
    </w:p>
    <w:p>
      <w:pPr>
        <w:pStyle w:val="ListBullet"/>
      </w:pPr>
      <w:r>
        <w:t>Graphviz (Python + sistema)</w:t>
      </w:r>
    </w:p>
    <w:p>
      <w:pPr>
        <w:pStyle w:val="ListBullet"/>
      </w:pPr>
      <w:r>
        <w:t>python-docx (opcional)</w:t>
      </w:r>
    </w:p>
    <w:p>
      <w:r>
        <w:t>Comandos de instalación y ejecución:</w:t>
      </w:r>
    </w:p>
    <w:p>
      <w:r>
        <w:rPr>
          <w:rFonts w:ascii="Courier New" w:hAnsi="Courier New"/>
          <w:sz w:val="20"/>
        </w:rPr>
        <w:t>pip install -r requirements.txt</w:t>
        <w:br/>
        <w:t>python app_flask.py</w:t>
      </w:r>
    </w:p>
    <w:p>
      <w:pPr>
        <w:pStyle w:val="Heading2"/>
      </w:pPr>
      <w:r>
        <w:rPr>
          <w:color w:val="1F497D"/>
        </w:rPr>
        <w:t>10.2 Navegador</w:t>
      </w:r>
    </w:p>
    <w:p>
      <w:pPr>
        <w:pStyle w:val="ListBullet"/>
      </w:pPr>
      <w:r>
        <w:t>Chrome, Firefox, Edge, Safari (versión reciente)</w:t>
      </w:r>
    </w:p>
    <w:p>
      <w:pPr>
        <w:pStyle w:val="ListBullet"/>
      </w:pPr>
      <w:r>
        <w:t>Soporte para ES6 (vanilla JS moderno)</w:t>
      </w:r>
    </w:p>
    <w:p>
      <w:pPr>
        <w:pStyle w:val="ListBullet"/>
      </w:pPr>
      <w:r>
        <w:t>Cookies habilitadas (sesiones Flask)</w:t>
      </w:r>
    </w:p>
    <w:p>
      <w:pPr>
        <w:pStyle w:val="Heading1"/>
      </w:pPr>
      <w:r>
        <w:rPr>
          <w:color w:val="1F497D"/>
        </w:rPr>
        <w:t>11. Limitaciones y Notas Técnicas</w:t>
      </w:r>
    </w:p>
    <w:p>
      <w:pPr>
        <w:pStyle w:val="Heading2"/>
      </w:pPr>
      <w:r>
        <w:rPr>
          <w:color w:val="1F497D"/>
        </w:rPr>
        <w:t>11.1 Limitaciones</w:t>
      </w:r>
    </w:p>
    <w:p>
      <w:pPr>
        <w:pStyle w:val="ListBullet"/>
      </w:pPr>
      <w:r>
        <w:t>Teoría de Juegos: solo resuelve matrices 2×2 tras dominancia (sin LP para matrices mayores).</w:t>
      </w:r>
    </w:p>
    <w:p>
      <w:pPr>
        <w:pStyle w:val="ListBullet"/>
      </w:pPr>
      <w:r>
        <w:t>Teoría de Juegos: solo soporta juegos de suma cero.</w:t>
      </w:r>
    </w:p>
    <w:p>
      <w:pPr>
        <w:pStyle w:val="ListBullet"/>
      </w:pPr>
      <w:r>
        <w:t>Colas: M/M/2 con c=2 fijo (no generalizable a c&gt;2).</w:t>
      </w:r>
    </w:p>
    <w:p>
      <w:pPr>
        <w:pStyle w:val="ListBullet"/>
      </w:pPr>
      <w:r>
        <w:t>Colas: modelo Poisson puro (puede no reflejar llegadas reales).</w:t>
      </w:r>
    </w:p>
    <w:p>
      <w:pPr>
        <w:pStyle w:val="ListBullet"/>
      </w:pPr>
      <w:r>
        <w:t>Sin análisis costo/beneficio integrado en el módulo de colas.</w:t>
      </w:r>
    </w:p>
    <w:p>
      <w:pPr>
        <w:pStyle w:val="Heading2"/>
      </w:pPr>
      <w:r>
        <w:rPr>
          <w:color w:val="1F497D"/>
        </w:rPr>
        <w:t>11.2 Notas Técnicas</w:t>
      </w:r>
    </w:p>
    <w:p>
      <w:pPr>
        <w:pStyle w:val="ListBullet"/>
      </w:pPr>
      <w:r>
        <w:t>Conversión numpy.float64 → float nativo con .tolist() para serialización JSON correcta.</w:t>
      </w:r>
    </w:p>
    <w:p>
      <w:pPr>
        <w:pStyle w:val="ListBullet"/>
      </w:pPr>
      <w:r>
        <w:t>Árbol de decisión generado en Python (graphviz → PNG → data:image) y renderizado con D3.js.</w:t>
      </w:r>
    </w:p>
    <w:p>
      <w:pPr>
        <w:pStyle w:val="ListBullet"/>
      </w:pPr>
      <w:r>
        <w:t>Modales de glosario usando data-bs-toggle="modal" de Bootstrap 5.</w:t>
      </w:r>
    </w:p>
    <w:p>
      <w:pPr>
        <w:pStyle w:val="ListBullet"/>
      </w:pPr>
      <w:r>
        <w:t>Todos los valores monetarios expresados en millones de COP.</w:t>
      </w:r>
    </w:p>
    <w:p>
      <w:pPr>
        <w:pStyle w:val="ListBullet"/>
      </w:pPr>
      <w:r>
        <w:t>Redondeo: ρ a 3 decimales; L, Lq, W, Wq a 4 decimales.</w:t>
      </w:r>
    </w:p>
    <w:p>
      <w:r>
        <w:br w:type="page"/>
      </w:r>
    </w:p>
    <w:p>
      <w:pPr>
        <w:pStyle w:val="Heading1"/>
      </w:pPr>
      <w:r>
        <w:rPr>
          <w:color w:val="1F497D"/>
        </w:rPr>
        <w:t>Autores</w:t>
      </w:r>
    </w:p>
    <w:p>
      <w:pPr>
        <w:pStyle w:val="ListBullet"/>
      </w:pPr>
      <w:r>
        <w:t>Sebastian Velasquez</w:t>
      </w:r>
    </w:p>
    <w:p>
      <w:pPr>
        <w:pStyle w:val="ListBullet"/>
      </w:pPr>
      <w:r>
        <w:t>Camila Bermudez</w:t>
      </w:r>
    </w:p>
    <w:p>
      <w:pPr>
        <w:pStyle w:val="ListBullet"/>
      </w:pPr>
      <w:r>
        <w:t>Diego Zabaleta</w:t>
      </w:r>
    </w:p>
    <w:p>
      <w:pPr>
        <w:pStyle w:val="ListBullet"/>
      </w:pPr>
      <w:r>
        <w:t>Simon Cortes</w:t>
      </w:r>
    </w:p>
    <w:p>
      <w:pPr>
        <w:pStyle w:val="ListBullet"/>
      </w:pPr>
      <w:r>
        <w:t>Sara Patiño</w:t>
      </w:r>
    </w:p>
    <w:p/>
    <w:p>
      <w:pPr>
        <w:jc w:val="center"/>
      </w:pPr>
      <w:r>
        <w:rPr>
          <w:i/>
          <w:color w:val="808080"/>
        </w:rPr>
        <w:t>Uso interno — PETI 2025-2028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