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Informe C2</w:t>
      </w:r>
    </w:p>
    <w:p>
      <w:pPr>
        <w:pStyle w:val="Heading2"/>
        <w:spacing w:after="60"/>
        <w:jc w:val="center"/>
      </w:pPr>
      <w:r>
        <w:t xml:space="preserve">Piezas de Software y Arquitectura General</w:t>
      </w:r>
    </w:p>
    <w:p>
      <w:pPr>
        <w:spacing w:after="400"/>
        <w:jc w:val="center"/>
      </w:pPr>
      <w:r>
        <w:t xml:space="preserve">Proyecto FullRepar — Sistema de Gestión para Taller de Reparación de Dispositivos</w:t>
      </w:r>
    </w:p>
    <w:p>
      <w:pPr>
        <w:pStyle w:val="Heading1"/>
        <w:spacing w:after="150" w:before="300"/>
      </w:pPr>
      <w:r>
        <w:t xml:space="preserve">1. Introducción</w:t>
      </w:r>
    </w:p>
    <w:p>
      <w:pPr>
        <w:spacing w:after="120"/>
      </w:pPr>
      <w:r>
        <w:t xml:space="preserve">FullRepar es un sistema de gestión para un taller de reparación de dispositivos electrónicos, implementado bajo una arquitectura de microservicios. Este informe (C2) describe las distintas piezas de software que componen el sistema, su rol dentro de la arquitectura y cómo se comunican entre sí, en conformidad con los requerimientos de la evaluación EFT DSY1103.</w:t>
      </w:r>
    </w:p>
    <w:p>
      <w:pPr>
        <w:spacing w:after="120"/>
      </w:pPr>
      <w:r>
        <w:t xml:space="preserve">La solución está compuesta por 1 BFF (API Gateway), 1 servidor de descubrimiento de servicios (Eureka) y 9 microservicios de dominio, totalizando 11 piezas de software desplegadas de forma independiente.</w:t>
      </w:r>
    </w:p>
    <w:p>
      <w:pPr>
        <w:pStyle w:val="Heading1"/>
        <w:spacing w:after="150" w:before="300"/>
      </w:pPr>
      <w:r>
        <w:t xml:space="preserve">2. Inventario de piezas de software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000"/>
        <w:gridCol w:w="2200"/>
        <w:gridCol w:w="3900"/>
      </w:tblGrid>
      <w:tr>
        <w:tc>
          <w:tcPr>
            <w:tcW w:type="dxa" w:w="500"/>
            <w:shd w:fill="2F5496" w:val="clear"/>
          </w:tcPr>
          <w:p>
            <w:r>
              <w:rPr>
                <w:b/>
                <w:bCs/>
                <w:color w:val="FFFFFF"/>
                <w:sz w:val="20"/>
                <w:szCs w:val="20"/>
              </w:rPr>
              <w:t xml:space="preserve">#</w:t>
            </w:r>
          </w:p>
        </w:tc>
        <w:tc>
          <w:tcPr>
            <w:tcW w:type="dxa" w:w="2400"/>
            <w:shd w:fill="2F5496" w:val="clear"/>
          </w:tcPr>
          <w:p>
            <w:r>
              <w:rPr>
                <w:b/>
                <w:bCs/>
                <w:color w:val="FFFFFF"/>
                <w:sz w:val="20"/>
                <w:szCs w:val="20"/>
              </w:rPr>
              <w:t xml:space="preserve">Servicio</w:t>
            </w:r>
          </w:p>
        </w:tc>
        <w:tc>
          <w:tcPr>
            <w:tcW w:type="dxa" w:w="1000"/>
            <w:shd w:fill="2F5496" w:val="clear"/>
          </w:tcPr>
          <w:p>
            <w:r>
              <w:rPr>
                <w:b/>
                <w:bCs/>
                <w:color w:val="FFFFFF"/>
                <w:sz w:val="20"/>
                <w:szCs w:val="20"/>
              </w:rPr>
              <w:t xml:space="preserve">Puerto</w:t>
            </w:r>
          </w:p>
        </w:tc>
        <w:tc>
          <w:tcPr>
            <w:tcW w:type="dxa" w:w="2200"/>
            <w:shd w:fill="2F5496" w:val="clear"/>
          </w:tcPr>
          <w:p>
            <w:r>
              <w:rPr>
                <w:b/>
                <w:bCs/>
                <w:color w:val="FFFFFF"/>
                <w:sz w:val="20"/>
                <w:szCs w:val="20"/>
              </w:rPr>
              <w:t xml:space="preserve">Base de datos</w:t>
            </w:r>
          </w:p>
        </w:tc>
        <w:tc>
          <w:tcPr>
            <w:tcW w:type="dxa" w:w="3900"/>
            <w:shd w:fill="2F5496" w:val="clear"/>
          </w:tcPr>
          <w:p>
            <w:r>
              <w:rPr>
                <w:b/>
                <w:bCs/>
                <w:color w:val="FFFFFF"/>
                <w:sz w:val="20"/>
                <w:szCs w:val="20"/>
              </w:rPr>
              <w:t xml:space="preserve">Rol</w:t>
            </w:r>
          </w:p>
        </w:tc>
      </w:tr>
      <w:tr>
        <w:tc>
          <w:tcPr>
            <w:tcW w:type="dxa" w:w="500"/>
          </w:tcPr>
          <w:p>
            <w:r>
              <w:rPr>
                <w:b w:val="false"/>
                <w:bCs w:val="false"/>
                <w:sz w:val="20"/>
                <w:szCs w:val="20"/>
              </w:rPr>
              <w:t xml:space="preserve">1</w:t>
            </w:r>
          </w:p>
        </w:tc>
        <w:tc>
          <w:tcPr>
            <w:tcW w:type="dxa" w:w="2400"/>
          </w:tcPr>
          <w:p>
            <w:r>
              <w:rPr>
                <w:b w:val="false"/>
                <w:bCs w:val="false"/>
                <w:sz w:val="20"/>
                <w:szCs w:val="20"/>
              </w:rPr>
              <w:t xml:space="preserve">bff-gateway</w:t>
            </w:r>
          </w:p>
        </w:tc>
        <w:tc>
          <w:tcPr>
            <w:tcW w:type="dxa" w:w="1000"/>
          </w:tcPr>
          <w:p>
            <w:r>
              <w:rPr>
                <w:b w:val="false"/>
                <w:bCs w:val="false"/>
                <w:sz w:val="20"/>
                <w:szCs w:val="20"/>
              </w:rPr>
              <w:t xml:space="preserve">8080</w:t>
            </w:r>
          </w:p>
        </w:tc>
        <w:tc>
          <w:tcPr>
            <w:tcW w:type="dxa" w:w="2200"/>
          </w:tcPr>
          <w:p>
            <w:r>
              <w:rPr>
                <w:b w:val="false"/>
                <w:bCs w:val="false"/>
                <w:sz w:val="20"/>
                <w:szCs w:val="20"/>
              </w:rPr>
              <w:t xml:space="preserve">—</w:t>
            </w:r>
          </w:p>
        </w:tc>
        <w:tc>
          <w:tcPr>
            <w:tcW w:type="dxa" w:w="3900"/>
          </w:tcPr>
          <w:p>
            <w:r>
              <w:rPr>
                <w:b w:val="false"/>
                <w:bCs w:val="false"/>
                <w:sz w:val="20"/>
                <w:szCs w:val="20"/>
              </w:rPr>
              <w:t xml:space="preserve">Punto de entrada único (API Gateway), enruta y valida JWT</w:t>
            </w:r>
          </w:p>
        </w:tc>
      </w:tr>
      <w:tr>
        <w:tc>
          <w:tcPr>
            <w:tcW w:type="dxa" w:w="500"/>
          </w:tcPr>
          <w:p>
            <w:r>
              <w:rPr>
                <w:b w:val="false"/>
                <w:bCs w:val="false"/>
                <w:sz w:val="20"/>
                <w:szCs w:val="20"/>
              </w:rPr>
              <w:t xml:space="preserve">2</w:t>
            </w:r>
          </w:p>
        </w:tc>
        <w:tc>
          <w:tcPr>
            <w:tcW w:type="dxa" w:w="2400"/>
          </w:tcPr>
          <w:p>
            <w:r>
              <w:rPr>
                <w:b w:val="false"/>
                <w:bCs w:val="false"/>
                <w:sz w:val="20"/>
                <w:szCs w:val="20"/>
              </w:rPr>
              <w:t xml:space="preserve">eureka-server</w:t>
            </w:r>
          </w:p>
        </w:tc>
        <w:tc>
          <w:tcPr>
            <w:tcW w:type="dxa" w:w="1000"/>
          </w:tcPr>
          <w:p>
            <w:r>
              <w:rPr>
                <w:b w:val="false"/>
                <w:bCs w:val="false"/>
                <w:sz w:val="20"/>
                <w:szCs w:val="20"/>
              </w:rPr>
              <w:t xml:space="preserve">8761</w:t>
            </w:r>
          </w:p>
        </w:tc>
        <w:tc>
          <w:tcPr>
            <w:tcW w:type="dxa" w:w="2200"/>
          </w:tcPr>
          <w:p>
            <w:r>
              <w:rPr>
                <w:b w:val="false"/>
                <w:bCs w:val="false"/>
                <w:sz w:val="20"/>
                <w:szCs w:val="20"/>
              </w:rPr>
              <w:t xml:space="preserve">—</w:t>
            </w:r>
          </w:p>
        </w:tc>
        <w:tc>
          <w:tcPr>
            <w:tcW w:type="dxa" w:w="3900"/>
          </w:tcPr>
          <w:p>
            <w:r>
              <w:rPr>
                <w:b w:val="false"/>
                <w:bCs w:val="false"/>
                <w:sz w:val="20"/>
                <w:szCs w:val="20"/>
              </w:rPr>
              <w:t xml:space="preserve">Registro y descubrimiento de servicios (service discovery)</w:t>
            </w:r>
          </w:p>
        </w:tc>
      </w:tr>
      <w:tr>
        <w:tc>
          <w:tcPr>
            <w:tcW w:type="dxa" w:w="500"/>
          </w:tcPr>
          <w:p>
            <w:r>
              <w:rPr>
                <w:b w:val="false"/>
                <w:bCs w:val="false"/>
                <w:sz w:val="20"/>
                <w:szCs w:val="20"/>
              </w:rPr>
              <w:t xml:space="preserve">3</w:t>
            </w:r>
          </w:p>
        </w:tc>
        <w:tc>
          <w:tcPr>
            <w:tcW w:type="dxa" w:w="2400"/>
          </w:tcPr>
          <w:p>
            <w:r>
              <w:rPr>
                <w:b w:val="false"/>
                <w:bCs w:val="false"/>
                <w:sz w:val="20"/>
                <w:szCs w:val="20"/>
              </w:rPr>
              <w:t xml:space="preserve">auth-service</w:t>
            </w:r>
          </w:p>
        </w:tc>
        <w:tc>
          <w:tcPr>
            <w:tcW w:type="dxa" w:w="1000"/>
          </w:tcPr>
          <w:p>
            <w:r>
              <w:rPr>
                <w:b w:val="false"/>
                <w:bCs w:val="false"/>
                <w:sz w:val="20"/>
                <w:szCs w:val="20"/>
              </w:rPr>
              <w:t xml:space="preserve">8081</w:t>
            </w:r>
          </w:p>
        </w:tc>
        <w:tc>
          <w:tcPr>
            <w:tcW w:type="dxa" w:w="2200"/>
          </w:tcPr>
          <w:p>
            <w:r>
              <w:rPr>
                <w:b w:val="false"/>
                <w:bCs w:val="false"/>
                <w:sz w:val="20"/>
                <w:szCs w:val="20"/>
              </w:rPr>
              <w:t xml:space="preserve">fullrepar_auth</w:t>
            </w:r>
          </w:p>
        </w:tc>
        <w:tc>
          <w:tcPr>
            <w:tcW w:type="dxa" w:w="3900"/>
          </w:tcPr>
          <w:p>
            <w:r>
              <w:rPr>
                <w:b w:val="false"/>
                <w:bCs w:val="false"/>
                <w:sz w:val="20"/>
                <w:szCs w:val="20"/>
              </w:rPr>
              <w:t xml:space="preserve">Registro/login de usuarios, emisión de JWT</w:t>
            </w:r>
          </w:p>
        </w:tc>
      </w:tr>
      <w:tr>
        <w:tc>
          <w:tcPr>
            <w:tcW w:type="dxa" w:w="500"/>
          </w:tcPr>
          <w:p>
            <w:r>
              <w:rPr>
                <w:b w:val="false"/>
                <w:bCs w:val="false"/>
                <w:sz w:val="20"/>
                <w:szCs w:val="20"/>
              </w:rPr>
              <w:t xml:space="preserve">4</w:t>
            </w:r>
          </w:p>
        </w:tc>
        <w:tc>
          <w:tcPr>
            <w:tcW w:type="dxa" w:w="2400"/>
          </w:tcPr>
          <w:p>
            <w:r>
              <w:rPr>
                <w:b w:val="false"/>
                <w:bCs w:val="false"/>
                <w:sz w:val="20"/>
                <w:szCs w:val="20"/>
              </w:rPr>
              <w:t xml:space="preserve">customer-service</w:t>
            </w:r>
          </w:p>
        </w:tc>
        <w:tc>
          <w:tcPr>
            <w:tcW w:type="dxa" w:w="1000"/>
          </w:tcPr>
          <w:p>
            <w:r>
              <w:rPr>
                <w:b w:val="false"/>
                <w:bCs w:val="false"/>
                <w:sz w:val="20"/>
                <w:szCs w:val="20"/>
              </w:rPr>
              <w:t xml:space="preserve">8082</w:t>
            </w:r>
          </w:p>
        </w:tc>
        <w:tc>
          <w:tcPr>
            <w:tcW w:type="dxa" w:w="2200"/>
          </w:tcPr>
          <w:p>
            <w:r>
              <w:rPr>
                <w:b w:val="false"/>
                <w:bCs w:val="false"/>
                <w:sz w:val="20"/>
                <w:szCs w:val="20"/>
              </w:rPr>
              <w:t xml:space="preserve">fullrepar_customer</w:t>
            </w:r>
          </w:p>
        </w:tc>
        <w:tc>
          <w:tcPr>
            <w:tcW w:type="dxa" w:w="3900"/>
          </w:tcPr>
          <w:p>
            <w:r>
              <w:rPr>
                <w:b w:val="false"/>
                <w:bCs w:val="false"/>
                <w:sz w:val="20"/>
                <w:szCs w:val="20"/>
              </w:rPr>
              <w:t xml:space="preserve">CRUD de clientes del taller</w:t>
            </w:r>
          </w:p>
        </w:tc>
      </w:tr>
      <w:tr>
        <w:tc>
          <w:tcPr>
            <w:tcW w:type="dxa" w:w="500"/>
          </w:tcPr>
          <w:p>
            <w:r>
              <w:rPr>
                <w:b w:val="false"/>
                <w:bCs w:val="false"/>
                <w:sz w:val="20"/>
                <w:szCs w:val="20"/>
              </w:rPr>
              <w:t xml:space="preserve">5</w:t>
            </w:r>
          </w:p>
        </w:tc>
        <w:tc>
          <w:tcPr>
            <w:tcW w:type="dxa" w:w="2400"/>
          </w:tcPr>
          <w:p>
            <w:r>
              <w:rPr>
                <w:b w:val="false"/>
                <w:bCs w:val="false"/>
                <w:sz w:val="20"/>
                <w:szCs w:val="20"/>
              </w:rPr>
              <w:t xml:space="preserve">device-service</w:t>
            </w:r>
          </w:p>
        </w:tc>
        <w:tc>
          <w:tcPr>
            <w:tcW w:type="dxa" w:w="1000"/>
          </w:tcPr>
          <w:p>
            <w:r>
              <w:rPr>
                <w:b w:val="false"/>
                <w:bCs w:val="false"/>
                <w:sz w:val="20"/>
                <w:szCs w:val="20"/>
              </w:rPr>
              <w:t xml:space="preserve">8083</w:t>
            </w:r>
          </w:p>
        </w:tc>
        <w:tc>
          <w:tcPr>
            <w:tcW w:type="dxa" w:w="2200"/>
          </w:tcPr>
          <w:p>
            <w:r>
              <w:rPr>
                <w:b w:val="false"/>
                <w:bCs w:val="false"/>
                <w:sz w:val="20"/>
                <w:szCs w:val="20"/>
              </w:rPr>
              <w:t xml:space="preserve">fullrepar_device</w:t>
            </w:r>
          </w:p>
        </w:tc>
        <w:tc>
          <w:tcPr>
            <w:tcW w:type="dxa" w:w="3900"/>
          </w:tcPr>
          <w:p>
            <w:r>
              <w:rPr>
                <w:b w:val="false"/>
                <w:bCs w:val="false"/>
                <w:sz w:val="20"/>
                <w:szCs w:val="20"/>
              </w:rPr>
              <w:t xml:space="preserve">CRUD de dispositivos, valida cliente</w:t>
            </w:r>
          </w:p>
        </w:tc>
      </w:tr>
      <w:tr>
        <w:tc>
          <w:tcPr>
            <w:tcW w:type="dxa" w:w="500"/>
          </w:tcPr>
          <w:p>
            <w:r>
              <w:rPr>
                <w:b w:val="false"/>
                <w:bCs w:val="false"/>
                <w:sz w:val="20"/>
                <w:szCs w:val="20"/>
              </w:rPr>
              <w:t xml:space="preserve">6</w:t>
            </w:r>
          </w:p>
        </w:tc>
        <w:tc>
          <w:tcPr>
            <w:tcW w:type="dxa" w:w="2400"/>
          </w:tcPr>
          <w:p>
            <w:r>
              <w:rPr>
                <w:b w:val="false"/>
                <w:bCs w:val="false"/>
                <w:sz w:val="20"/>
                <w:szCs w:val="20"/>
              </w:rPr>
              <w:t xml:space="preserve">repair-service</w:t>
            </w:r>
          </w:p>
        </w:tc>
        <w:tc>
          <w:tcPr>
            <w:tcW w:type="dxa" w:w="1000"/>
          </w:tcPr>
          <w:p>
            <w:r>
              <w:rPr>
                <w:b w:val="false"/>
                <w:bCs w:val="false"/>
                <w:sz w:val="20"/>
                <w:szCs w:val="20"/>
              </w:rPr>
              <w:t xml:space="preserve">8084</w:t>
            </w:r>
          </w:p>
        </w:tc>
        <w:tc>
          <w:tcPr>
            <w:tcW w:type="dxa" w:w="2200"/>
          </w:tcPr>
          <w:p>
            <w:r>
              <w:rPr>
                <w:b w:val="false"/>
                <w:bCs w:val="false"/>
                <w:sz w:val="20"/>
                <w:szCs w:val="20"/>
              </w:rPr>
              <w:t xml:space="preserve">fullrepar_repair</w:t>
            </w:r>
          </w:p>
        </w:tc>
        <w:tc>
          <w:tcPr>
            <w:tcW w:type="dxa" w:w="3900"/>
          </w:tcPr>
          <w:p>
            <w:r>
              <w:rPr>
                <w:b w:val="false"/>
                <w:bCs w:val="false"/>
                <w:sz w:val="20"/>
                <w:szCs w:val="20"/>
              </w:rPr>
              <w:t xml:space="preserve">Núcleo: órdenes de reparación, máquina de estados</w:t>
            </w:r>
          </w:p>
        </w:tc>
      </w:tr>
      <w:tr>
        <w:tc>
          <w:tcPr>
            <w:tcW w:type="dxa" w:w="500"/>
          </w:tcPr>
          <w:p>
            <w:r>
              <w:rPr>
                <w:b w:val="false"/>
                <w:bCs w:val="false"/>
                <w:sz w:val="20"/>
                <w:szCs w:val="20"/>
              </w:rPr>
              <w:t xml:space="preserve">7</w:t>
            </w:r>
          </w:p>
        </w:tc>
        <w:tc>
          <w:tcPr>
            <w:tcW w:type="dxa" w:w="2400"/>
          </w:tcPr>
          <w:p>
            <w:r>
              <w:rPr>
                <w:b w:val="false"/>
                <w:bCs w:val="false"/>
                <w:sz w:val="20"/>
                <w:szCs w:val="20"/>
              </w:rPr>
              <w:t xml:space="preserve">inventory-service</w:t>
            </w:r>
          </w:p>
        </w:tc>
        <w:tc>
          <w:tcPr>
            <w:tcW w:type="dxa" w:w="1000"/>
          </w:tcPr>
          <w:p>
            <w:r>
              <w:rPr>
                <w:b w:val="false"/>
                <w:bCs w:val="false"/>
                <w:sz w:val="20"/>
                <w:szCs w:val="20"/>
              </w:rPr>
              <w:t xml:space="preserve">8085</w:t>
            </w:r>
          </w:p>
        </w:tc>
        <w:tc>
          <w:tcPr>
            <w:tcW w:type="dxa" w:w="2200"/>
          </w:tcPr>
          <w:p>
            <w:r>
              <w:rPr>
                <w:b w:val="false"/>
                <w:bCs w:val="false"/>
                <w:sz w:val="20"/>
                <w:szCs w:val="20"/>
              </w:rPr>
              <w:t xml:space="preserve">fullrepar_inventory</w:t>
            </w:r>
          </w:p>
        </w:tc>
        <w:tc>
          <w:tcPr>
            <w:tcW w:type="dxa" w:w="3900"/>
          </w:tcPr>
          <w:p>
            <w:r>
              <w:rPr>
                <w:b w:val="false"/>
                <w:bCs w:val="false"/>
                <w:sz w:val="20"/>
                <w:szCs w:val="20"/>
              </w:rPr>
              <w:t xml:space="preserve">Repuestos y control de stock</w:t>
            </w:r>
          </w:p>
        </w:tc>
      </w:tr>
      <w:tr>
        <w:tc>
          <w:tcPr>
            <w:tcW w:type="dxa" w:w="500"/>
          </w:tcPr>
          <w:p>
            <w:r>
              <w:rPr>
                <w:b w:val="false"/>
                <w:bCs w:val="false"/>
                <w:sz w:val="20"/>
                <w:szCs w:val="20"/>
              </w:rPr>
              <w:t xml:space="preserve">8</w:t>
            </w:r>
          </w:p>
        </w:tc>
        <w:tc>
          <w:tcPr>
            <w:tcW w:type="dxa" w:w="2400"/>
          </w:tcPr>
          <w:p>
            <w:r>
              <w:rPr>
                <w:b w:val="false"/>
                <w:bCs w:val="false"/>
                <w:sz w:val="20"/>
                <w:szCs w:val="20"/>
              </w:rPr>
              <w:t xml:space="preserve">technician-service</w:t>
            </w:r>
          </w:p>
        </w:tc>
        <w:tc>
          <w:tcPr>
            <w:tcW w:type="dxa" w:w="1000"/>
          </w:tcPr>
          <w:p>
            <w:r>
              <w:rPr>
                <w:b w:val="false"/>
                <w:bCs w:val="false"/>
                <w:sz w:val="20"/>
                <w:szCs w:val="20"/>
              </w:rPr>
              <w:t xml:space="preserve">8086</w:t>
            </w:r>
          </w:p>
        </w:tc>
        <w:tc>
          <w:tcPr>
            <w:tcW w:type="dxa" w:w="2200"/>
          </w:tcPr>
          <w:p>
            <w:r>
              <w:rPr>
                <w:b w:val="false"/>
                <w:bCs w:val="false"/>
                <w:sz w:val="20"/>
                <w:szCs w:val="20"/>
              </w:rPr>
              <w:t xml:space="preserve">fullrepar_technician</w:t>
            </w:r>
          </w:p>
        </w:tc>
        <w:tc>
          <w:tcPr>
            <w:tcW w:type="dxa" w:w="3900"/>
          </w:tcPr>
          <w:p>
            <w:r>
              <w:rPr>
                <w:b w:val="false"/>
                <w:bCs w:val="false"/>
                <w:sz w:val="20"/>
                <w:szCs w:val="20"/>
              </w:rPr>
              <w:t xml:space="preserve">CRUD de técnicos del taller</w:t>
            </w:r>
          </w:p>
        </w:tc>
      </w:tr>
      <w:tr>
        <w:tc>
          <w:tcPr>
            <w:tcW w:type="dxa" w:w="500"/>
          </w:tcPr>
          <w:p>
            <w:r>
              <w:rPr>
                <w:b w:val="false"/>
                <w:bCs w:val="false"/>
                <w:sz w:val="20"/>
                <w:szCs w:val="20"/>
              </w:rPr>
              <w:t xml:space="preserve">9</w:t>
            </w:r>
          </w:p>
        </w:tc>
        <w:tc>
          <w:tcPr>
            <w:tcW w:type="dxa" w:w="2400"/>
          </w:tcPr>
          <w:p>
            <w:r>
              <w:rPr>
                <w:b w:val="false"/>
                <w:bCs w:val="false"/>
                <w:sz w:val="20"/>
                <w:szCs w:val="20"/>
              </w:rPr>
              <w:t xml:space="preserve">payment-service</w:t>
            </w:r>
          </w:p>
        </w:tc>
        <w:tc>
          <w:tcPr>
            <w:tcW w:type="dxa" w:w="1000"/>
          </w:tcPr>
          <w:p>
            <w:r>
              <w:rPr>
                <w:b w:val="false"/>
                <w:bCs w:val="false"/>
                <w:sz w:val="20"/>
                <w:szCs w:val="20"/>
              </w:rPr>
              <w:t xml:space="preserve">8087</w:t>
            </w:r>
          </w:p>
        </w:tc>
        <w:tc>
          <w:tcPr>
            <w:tcW w:type="dxa" w:w="2200"/>
          </w:tcPr>
          <w:p>
            <w:r>
              <w:rPr>
                <w:b w:val="false"/>
                <w:bCs w:val="false"/>
                <w:sz w:val="20"/>
                <w:szCs w:val="20"/>
              </w:rPr>
              <w:t xml:space="preserve">fullrepar_payment</w:t>
            </w:r>
          </w:p>
        </w:tc>
        <w:tc>
          <w:tcPr>
            <w:tcW w:type="dxa" w:w="3900"/>
          </w:tcPr>
          <w:p>
            <w:r>
              <w:rPr>
                <w:b w:val="false"/>
                <w:bCs w:val="false"/>
                <w:sz w:val="20"/>
                <w:szCs w:val="20"/>
              </w:rPr>
              <w:t xml:space="preserve">Pagos asociados a órdenes</w:t>
            </w:r>
          </w:p>
        </w:tc>
      </w:tr>
      <w:tr>
        <w:tc>
          <w:tcPr>
            <w:tcW w:type="dxa" w:w="500"/>
          </w:tcPr>
          <w:p>
            <w:r>
              <w:rPr>
                <w:b w:val="false"/>
                <w:bCs w:val="false"/>
                <w:sz w:val="20"/>
                <w:szCs w:val="20"/>
              </w:rPr>
              <w:t xml:space="preserve">10</w:t>
            </w:r>
          </w:p>
        </w:tc>
        <w:tc>
          <w:tcPr>
            <w:tcW w:type="dxa" w:w="2400"/>
          </w:tcPr>
          <w:p>
            <w:r>
              <w:rPr>
                <w:b w:val="false"/>
                <w:bCs w:val="false"/>
                <w:sz w:val="20"/>
                <w:szCs w:val="20"/>
              </w:rPr>
              <w:t xml:space="preserve">notification-service</w:t>
            </w:r>
          </w:p>
        </w:tc>
        <w:tc>
          <w:tcPr>
            <w:tcW w:type="dxa" w:w="1000"/>
          </w:tcPr>
          <w:p>
            <w:r>
              <w:rPr>
                <w:b w:val="false"/>
                <w:bCs w:val="false"/>
                <w:sz w:val="20"/>
                <w:szCs w:val="20"/>
              </w:rPr>
              <w:t xml:space="preserve">8088</w:t>
            </w:r>
          </w:p>
        </w:tc>
        <w:tc>
          <w:tcPr>
            <w:tcW w:type="dxa" w:w="2200"/>
          </w:tcPr>
          <w:p>
            <w:r>
              <w:rPr>
                <w:b w:val="false"/>
                <w:bCs w:val="false"/>
                <w:sz w:val="20"/>
                <w:szCs w:val="20"/>
              </w:rPr>
              <w:t xml:space="preserve">(sin BD)</w:t>
            </w:r>
          </w:p>
        </w:tc>
        <w:tc>
          <w:tcPr>
            <w:tcW w:type="dxa" w:w="3900"/>
          </w:tcPr>
          <w:p>
            <w:r>
              <w:rPr>
                <w:b w:val="false"/>
                <w:bCs w:val="false"/>
                <w:sz w:val="20"/>
                <w:szCs w:val="20"/>
              </w:rPr>
              <w:t xml:space="preserve">Notificaciones de eventos, sin persistencia</w:t>
            </w:r>
          </w:p>
        </w:tc>
      </w:tr>
      <w:tr>
        <w:tc>
          <w:tcPr>
            <w:tcW w:type="dxa" w:w="500"/>
          </w:tcPr>
          <w:p>
            <w:r>
              <w:rPr>
                <w:b w:val="false"/>
                <w:bCs w:val="false"/>
                <w:sz w:val="20"/>
                <w:szCs w:val="20"/>
              </w:rPr>
              <w:t xml:space="preserve">11</w:t>
            </w:r>
          </w:p>
        </w:tc>
        <w:tc>
          <w:tcPr>
            <w:tcW w:type="dxa" w:w="2400"/>
          </w:tcPr>
          <w:p>
            <w:r>
              <w:rPr>
                <w:b w:val="false"/>
                <w:bCs w:val="false"/>
                <w:sz w:val="20"/>
                <w:szCs w:val="20"/>
              </w:rPr>
              <w:t xml:space="preserve">review-service</w:t>
            </w:r>
          </w:p>
        </w:tc>
        <w:tc>
          <w:tcPr>
            <w:tcW w:type="dxa" w:w="1000"/>
          </w:tcPr>
          <w:p>
            <w:r>
              <w:rPr>
                <w:b w:val="false"/>
                <w:bCs w:val="false"/>
                <w:sz w:val="20"/>
                <w:szCs w:val="20"/>
              </w:rPr>
              <w:t xml:space="preserve">8089</w:t>
            </w:r>
          </w:p>
        </w:tc>
        <w:tc>
          <w:tcPr>
            <w:tcW w:type="dxa" w:w="2200"/>
          </w:tcPr>
          <w:p>
            <w:r>
              <w:rPr>
                <w:b w:val="false"/>
                <w:bCs w:val="false"/>
                <w:sz w:val="20"/>
                <w:szCs w:val="20"/>
              </w:rPr>
              <w:t xml:space="preserve">fullrepar_review</w:t>
            </w:r>
          </w:p>
        </w:tc>
        <w:tc>
          <w:tcPr>
            <w:tcW w:type="dxa" w:w="3900"/>
          </w:tcPr>
          <w:p>
            <w:r>
              <w:rPr>
                <w:b w:val="false"/>
                <w:bCs w:val="false"/>
                <w:sz w:val="20"/>
                <w:szCs w:val="20"/>
              </w:rPr>
              <w:t xml:space="preserve">Reseñas de órdenes completadas</w:t>
            </w:r>
          </w:p>
        </w:tc>
      </w:tr>
    </w:tbl>
    <w:p>
      <w:pPr>
        <w:spacing w:after="200"/>
      </w:pPr>
    </w:p>
    <w:p>
      <w:pPr>
        <w:spacing w:after="120"/>
      </w:pPr>
      <w:r>
        <w:t xml:space="preserve">Nota: en cumplimiento del requisito de no compartir base de datos entre servicios ("NO PUEDEN ROMPER DB PER SERVICE"), cada microservicio que persiste datos cuenta con su propia base PostgreSQL aislada. notification-service es un ejemplo del caso permitido en la pauta "no todos tienen que tener DB": recibe un request, procesa la notificación y no persiste estado.</w:t>
      </w:r>
    </w:p>
    <w:p>
      <w:pPr>
        <w:pStyle w:val="Heading1"/>
        <w:spacing w:after="150" w:before="300"/>
      </w:pPr>
      <w:r>
        <w:t xml:space="preserve">3. Diagrama de arquitectura (piezas)</w:t>
      </w:r>
    </w:p>
    <w:p>
      <w:pPr>
        <w:spacing w:after="120"/>
      </w:pPr>
      <w:r>
        <w:t xml:space="preserve">Cliente → BFF Gateway (8080) → [balanceo de carga vía Eureka] → microservicios de dominio → base de datos propia de cada servicio.</w:t>
      </w:r>
    </w:p>
    <w:p>
      <w:pPr>
        <w:spacing w:after="120"/>
      </w:pPr>
      <w:r>
        <w:t xml:space="preserve">Todos los microservicios se registran en Eureka Server (8761) al arrancar, lo que permite al BFF resolver dinámicamente la dirección de cada instancia mediante el prefijo lb:// (load-balanced), sin hardcodear IPs ni puertos.</w:t>
      </w:r>
    </w:p>
    <w:p>
      <w:pPr>
        <w:pStyle w:val="Heading1"/>
        <w:spacing w:after="150" w:before="300"/>
      </w:pPr>
      <w:r>
        <w:t xml:space="preserve">4. Comunicación entre microservicios</w:t>
      </w:r>
    </w:p>
    <w:p>
      <w:pPr>
        <w:spacing w:after="120"/>
      </w:pPr>
      <w:r>
        <w:t xml:space="preserve">Los siguientes microservicios se comunican de forma síncrona (REST vía WebClient) para validar datos de otros dominios antes de completar una operación: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00"/>
      </w:tblGrid>
      <w:tr>
        <w:tc>
          <w:tcPr>
            <w:tcW w:type="dxa" w:w="3000"/>
            <w:shd w:fill="2F5496" w:val="clear"/>
          </w:tcPr>
          <w:p>
            <w:r>
              <w:rPr>
                <w:b/>
                <w:bCs/>
                <w:color w:val="FFFFFF"/>
                <w:sz w:val="20"/>
                <w:szCs w:val="20"/>
              </w:rPr>
              <w:t xml:space="preserve">Servicio origen</w:t>
            </w:r>
          </w:p>
        </w:tc>
        <w:tc>
          <w:tcPr>
            <w:tcW w:type="dxa" w:w="3000"/>
            <w:shd w:fill="2F5496" w:val="clear"/>
          </w:tcPr>
          <w:p>
            <w:r>
              <w:rPr>
                <w:b/>
                <w:bCs/>
                <w:color w:val="FFFFFF"/>
                <w:sz w:val="20"/>
                <w:szCs w:val="20"/>
              </w:rPr>
              <w:t xml:space="preserve">Servicio destino</w:t>
            </w:r>
          </w:p>
        </w:tc>
        <w:tc>
          <w:tcPr>
            <w:tcW w:type="dxa" w:w="4000"/>
            <w:shd w:fill="2F5496" w:val="clear"/>
          </w:tcPr>
          <w:p>
            <w:r>
              <w:rPr>
                <w:b/>
                <w:bCs/>
                <w:color w:val="FFFFFF"/>
                <w:sz w:val="20"/>
                <w:szCs w:val="20"/>
              </w:rPr>
              <w:t xml:space="preserve">Propósito de la llamada</w:t>
            </w:r>
          </w:p>
        </w:tc>
      </w:tr>
      <w:tr>
        <w:tc>
          <w:tcPr>
            <w:tcW w:type="dxa" w:w="3000"/>
          </w:tcPr>
          <w:p>
            <w:r>
              <w:rPr>
                <w:b w:val="false"/>
                <w:bCs w:val="false"/>
                <w:sz w:val="20"/>
                <w:szCs w:val="20"/>
              </w:rPr>
              <w:t xml:space="preserve">device-service</w:t>
            </w:r>
          </w:p>
        </w:tc>
        <w:tc>
          <w:tcPr>
            <w:tcW w:type="dxa" w:w="3000"/>
          </w:tcPr>
          <w:p>
            <w:r>
              <w:rPr>
                <w:b w:val="false"/>
                <w:bCs w:val="false"/>
                <w:sz w:val="20"/>
                <w:szCs w:val="20"/>
              </w:rPr>
              <w:t xml:space="preserve">customer-service</w:t>
            </w:r>
          </w:p>
        </w:tc>
        <w:tc>
          <w:tcPr>
            <w:tcW w:type="dxa" w:w="4000"/>
          </w:tcPr>
          <w:p>
            <w:r>
              <w:rPr>
                <w:b w:val="false"/>
                <w:bCs w:val="false"/>
                <w:sz w:val="20"/>
                <w:szCs w:val="20"/>
              </w:rPr>
              <w:t xml:space="preserve">Valida que el cliente exista antes de registrar un dispositivo</w:t>
            </w:r>
          </w:p>
        </w:tc>
      </w:tr>
      <w:tr>
        <w:tc>
          <w:tcPr>
            <w:tcW w:type="dxa" w:w="3000"/>
          </w:tcPr>
          <w:p>
            <w:r>
              <w:rPr>
                <w:b w:val="false"/>
                <w:bCs w:val="false"/>
                <w:sz w:val="20"/>
                <w:szCs w:val="20"/>
              </w:rPr>
              <w:t xml:space="preserve">repair-service</w:t>
            </w:r>
          </w:p>
        </w:tc>
        <w:tc>
          <w:tcPr>
            <w:tcW w:type="dxa" w:w="3000"/>
          </w:tcPr>
          <w:p>
            <w:r>
              <w:rPr>
                <w:b w:val="false"/>
                <w:bCs w:val="false"/>
                <w:sz w:val="20"/>
                <w:szCs w:val="20"/>
              </w:rPr>
              <w:t xml:space="preserve">customer-service</w:t>
            </w:r>
          </w:p>
        </w:tc>
        <w:tc>
          <w:tcPr>
            <w:tcW w:type="dxa" w:w="4000"/>
          </w:tcPr>
          <w:p>
            <w:r>
              <w:rPr>
                <w:b w:val="false"/>
                <w:bCs w:val="false"/>
                <w:sz w:val="20"/>
                <w:szCs w:val="20"/>
              </w:rPr>
              <w:t xml:space="preserve">Valida existencia del cliente al crear una orden</w:t>
            </w:r>
          </w:p>
        </w:tc>
      </w:tr>
      <w:tr>
        <w:tc>
          <w:tcPr>
            <w:tcW w:type="dxa" w:w="3000"/>
          </w:tcPr>
          <w:p>
            <w:r>
              <w:rPr>
                <w:b w:val="false"/>
                <w:bCs w:val="false"/>
                <w:sz w:val="20"/>
                <w:szCs w:val="20"/>
              </w:rPr>
              <w:t xml:space="preserve">repair-service</w:t>
            </w:r>
          </w:p>
        </w:tc>
        <w:tc>
          <w:tcPr>
            <w:tcW w:type="dxa" w:w="3000"/>
          </w:tcPr>
          <w:p>
            <w:r>
              <w:rPr>
                <w:b w:val="false"/>
                <w:bCs w:val="false"/>
                <w:sz w:val="20"/>
                <w:szCs w:val="20"/>
              </w:rPr>
              <w:t xml:space="preserve">device-service</w:t>
            </w:r>
          </w:p>
        </w:tc>
        <w:tc>
          <w:tcPr>
            <w:tcW w:type="dxa" w:w="4000"/>
          </w:tcPr>
          <w:p>
            <w:r>
              <w:rPr>
                <w:b w:val="false"/>
                <w:bCs w:val="false"/>
                <w:sz w:val="20"/>
                <w:szCs w:val="20"/>
              </w:rPr>
              <w:t xml:space="preserve">Valida existencia del dispositivo al crear una orden</w:t>
            </w:r>
          </w:p>
        </w:tc>
      </w:tr>
      <w:tr>
        <w:tc>
          <w:tcPr>
            <w:tcW w:type="dxa" w:w="3000"/>
          </w:tcPr>
          <w:p>
            <w:r>
              <w:rPr>
                <w:b w:val="false"/>
                <w:bCs w:val="false"/>
                <w:sz w:val="20"/>
                <w:szCs w:val="20"/>
              </w:rPr>
              <w:t xml:space="preserve">payment-service</w:t>
            </w:r>
          </w:p>
        </w:tc>
        <w:tc>
          <w:tcPr>
            <w:tcW w:type="dxa" w:w="3000"/>
          </w:tcPr>
          <w:p>
            <w:r>
              <w:rPr>
                <w:b w:val="false"/>
                <w:bCs w:val="false"/>
                <w:sz w:val="20"/>
                <w:szCs w:val="20"/>
              </w:rPr>
              <w:t xml:space="preserve">repair-service</w:t>
            </w:r>
          </w:p>
        </w:tc>
        <w:tc>
          <w:tcPr>
            <w:tcW w:type="dxa" w:w="4000"/>
          </w:tcPr>
          <w:p>
            <w:r>
              <w:rPr>
                <w:b w:val="false"/>
                <w:bCs w:val="false"/>
                <w:sz w:val="20"/>
                <w:szCs w:val="20"/>
              </w:rPr>
              <w:t xml:space="preserve">Valida que la orden de reparación exista antes de procesar el pago</w:t>
            </w:r>
          </w:p>
        </w:tc>
      </w:tr>
      <w:tr>
        <w:tc>
          <w:tcPr>
            <w:tcW w:type="dxa" w:w="3000"/>
          </w:tcPr>
          <w:p>
            <w:r>
              <w:rPr>
                <w:b w:val="false"/>
                <w:bCs w:val="false"/>
                <w:sz w:val="20"/>
                <w:szCs w:val="20"/>
              </w:rPr>
              <w:t xml:space="preserve">review-service</w:t>
            </w:r>
          </w:p>
        </w:tc>
        <w:tc>
          <w:tcPr>
            <w:tcW w:type="dxa" w:w="3000"/>
          </w:tcPr>
          <w:p>
            <w:r>
              <w:rPr>
                <w:b w:val="false"/>
                <w:bCs w:val="false"/>
                <w:sz w:val="20"/>
                <w:szCs w:val="20"/>
              </w:rPr>
              <w:t xml:space="preserve">repair-service</w:t>
            </w:r>
          </w:p>
        </w:tc>
        <w:tc>
          <w:tcPr>
            <w:tcW w:type="dxa" w:w="4000"/>
          </w:tcPr>
          <w:p>
            <w:r>
              <w:rPr>
                <w:b w:val="false"/>
                <w:bCs w:val="false"/>
                <w:sz w:val="20"/>
                <w:szCs w:val="20"/>
              </w:rPr>
              <w:t xml:space="preserve">Valida que la orden esté COMPLETED/DELIVERED antes de reseñar</w:t>
            </w:r>
          </w:p>
        </w:tc>
      </w:tr>
    </w:tbl>
    <w:p>
      <w:pPr>
        <w:pStyle w:val="Heading1"/>
        <w:spacing w:after="150" w:before="300"/>
      </w:pPr>
      <w:r>
        <w:t xml:space="preserve">5. Seguridad y sesión de usuario</w:t>
      </w:r>
    </w:p>
    <w:p>
      <w:pPr>
        <w:pStyle w:val="ListParagraph"/>
        <w:numPr>
          <w:ilvl w:val="0"/>
          <w:numId w:val="1"/>
        </w:numPr>
        <w:spacing w:after="60"/>
      </w:pPr>
      <w:r>
        <w:t xml:space="preserve">auth-service expone /api/v1/auth/register y /api/v1/auth/login; las contraseñas se almacenan hasheadas con BCrypt (spring-security-crypto), nunca en texto plano.</w:t>
      </w:r>
    </w:p>
    <w:p>
      <w:pPr>
        <w:pStyle w:val="ListParagraph"/>
        <w:numPr>
          <w:ilvl w:val="0"/>
          <w:numId w:val="1"/>
        </w:numPr>
        <w:spacing w:after="60"/>
      </w:pPr>
      <w:r>
        <w:t xml:space="preserve">El login exitoso emite un JWT firmado con HS256 (librería jjwt), con tiempo de expiración configurable (jwt.expiration-ms).</w:t>
      </w:r>
    </w:p>
    <w:p>
      <w:pPr>
        <w:pStyle w:val="ListParagraph"/>
        <w:numPr>
          <w:ilvl w:val="0"/>
          <w:numId w:val="1"/>
        </w:numPr>
        <w:spacing w:after="60"/>
      </w:pPr>
      <w:r>
        <w:t xml:space="preserve">bff-gateway valida el JWT en cada request entrante mediante un filtro (JwtAuthFilter), exceptuando las rutas públicas /api/v1/auth/** y /actuator/**.</w:t>
      </w:r>
    </w:p>
    <w:p>
      <w:pPr>
        <w:pStyle w:val="ListParagraph"/>
        <w:numPr>
          <w:ilvl w:val="0"/>
          <w:numId w:val="1"/>
        </w:numPr>
        <w:spacing w:after="60"/>
      </w:pPr>
      <w:r>
        <w:t xml:space="preserve">El secreto de firma (jwt.secret) es compartido entre auth-service y bff-gateway mediante variable de entorno, garantizando que solo el gateway pueda validar tokens emitidos por auth-service.</w:t>
      </w:r>
    </w:p>
    <w:p>
      <w:pPr>
        <w:pStyle w:val="Heading1"/>
        <w:spacing w:after="150" w:before="300"/>
      </w:pPr>
      <w:r>
        <w:t xml:space="preserve">6. Infraestructura y despliegue</w:t>
      </w:r>
    </w:p>
    <w:p>
      <w:pPr>
        <w:spacing w:after="120"/>
      </w:pPr>
      <w:r>
        <w:t xml:space="preserve">Todo el sistema se orquesta mediante Docker Compose (docker-compose.yml), que define:</w:t>
      </w:r>
    </w:p>
    <w:p>
      <w:pPr>
        <w:pStyle w:val="ListParagraph"/>
        <w:numPr>
          <w:ilvl w:val="0"/>
          <w:numId w:val="1"/>
        </w:numPr>
        <w:spacing w:after="60"/>
      </w:pPr>
      <w:r>
        <w:t xml:space="preserve">1 contenedor de Eureka Server</w:t>
      </w:r>
    </w:p>
    <w:p>
      <w:pPr>
        <w:pStyle w:val="ListParagraph"/>
        <w:numPr>
          <w:ilvl w:val="0"/>
          <w:numId w:val="1"/>
        </w:numPr>
        <w:spacing w:after="60"/>
      </w:pPr>
      <w:r>
        <w:t xml:space="preserve">8 contenedores PostgreSQL (uno por microservicio con persistencia), cada uno con su propio volumen y healthcheck (pg_isready)</w:t>
      </w:r>
    </w:p>
    <w:p>
      <w:pPr>
        <w:pStyle w:val="ListParagraph"/>
        <w:numPr>
          <w:ilvl w:val="0"/>
          <w:numId w:val="1"/>
        </w:numPr>
        <w:spacing w:after="60"/>
      </w:pPr>
      <w:r>
        <w:t xml:space="preserve">10 contenedores de servicios Java (9 microservicios + BFF), cada uno dependiente de que su base de datos esté saludable y Eureka esté iniciado</w:t>
      </w:r>
    </w:p>
    <w:p>
      <w:pPr>
        <w:spacing w:after="120"/>
      </w:pPr>
      <w:r>
        <w:t xml:space="preserve">Comando de despliegue: docker compose up --build</w:t>
      </w:r>
    </w:p>
    <w:p>
      <w:pPr>
        <w:spacing w:after="120"/>
      </w:pPr>
      <w:r>
        <w:t xml:space="preserve">Adicionalmente, cada servicio puede ejecutarse de forma individual en desarrollo local con ./gradlew bootRun, apuntando a localhost.</w:t>
      </w:r>
    </w:p>
    <w:p>
      <w:pPr>
        <w:pStyle w:val="Heading1"/>
        <w:spacing w:after="150" w:before="300"/>
      </w:pPr>
      <w:r>
        <w:t xml:space="preserve">7. Calidad: cobertura de tests y observabilidad</w:t>
      </w:r>
    </w:p>
    <w:p>
      <w:pPr>
        <w:spacing w:after="120"/>
      </w:pPr>
      <w:r>
        <w:t xml:space="preserve">Cada uno de los 9 microservicios incorpora el plugin Jacoco en su build.gradle, con una tarea jacocoTestCoverageVerification que exige un mínimo de 40% de cobertura de línea al ejecutar ./gradlew check. El respaldo de esta cobertura son 36 tests unitarios (JUnit 5 + Mockito) distribuidos en las 9 clases *Service, que validan tanto los flujos exitosos como las reglas de negocio que deben rechazar una operación (p. ej. transición de estado inválida, stock insuficiente, email duplicado, pago ya confirmado).</w:t>
      </w:r>
    </w:p>
    <w:p>
      <w:pPr>
        <w:spacing w:after="120"/>
      </w:pPr>
      <w:r>
        <w:t xml:space="preserve">Para observabilidad, se integró GlitchTip (compatible con el protocolo Sentry) mediante la dependencia sentry-spring-boot-starter-jakarta en los 9 microservicios y en bff-gateway. La integración captura automáticamente eventos de nivel WARN/ERROR y los envía a la instancia de GlitchTip configurada en la variable de entorno GLITCHTIP_DSN; si esta variable no está definida, el servicio continúa operando con normalidad y solo registra sus logs por consola.</w:t>
      </w:r>
    </w:p>
    <w:p>
      <w:pPr>
        <w:pStyle w:val="Heading1"/>
        <w:spacing w:after="150" w:before="300"/>
      </w:pPr>
      <w:r>
        <w:t xml:space="preserve">8. Estado de cumplimiento frente a la pauta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500"/>
        <w:gridCol w:w="4500"/>
      </w:tblGrid>
      <w:tr>
        <w:tc>
          <w:tcPr>
            <w:tcW w:type="dxa" w:w="5500"/>
            <w:shd w:fill="2F5496" w:val="clear"/>
          </w:tcPr>
          <w:p>
            <w:r>
              <w:rPr>
                <w:b/>
                <w:bCs/>
                <w:color w:val="FFFFFF"/>
                <w:sz w:val="20"/>
                <w:szCs w:val="20"/>
              </w:rPr>
              <w:t xml:space="preserve">Requisito de la pauta</w:t>
            </w:r>
          </w:p>
        </w:tc>
        <w:tc>
          <w:tcPr>
            <w:tcW w:type="dxa" w:w="4500"/>
            <w:shd w:fill="2F5496" w:val="clear"/>
          </w:tcPr>
          <w:p>
            <w:r>
              <w:rPr>
                <w:b/>
                <w:bCs/>
                <w:color w:val="FFFFFF"/>
                <w:sz w:val="20"/>
                <w:szCs w:val="20"/>
              </w:rPr>
              <w:t xml:space="preserve">Estado</w:t>
            </w:r>
          </w:p>
        </w:tc>
      </w:tr>
      <w:tr>
        <w:tc>
          <w:tcPr>
            <w:tcW w:type="dxa" w:w="5500"/>
          </w:tcPr>
          <w:p>
            <w:r>
              <w:rPr>
                <w:b w:val="false"/>
                <w:bCs w:val="false"/>
                <w:sz w:val="20"/>
                <w:szCs w:val="20"/>
              </w:rPr>
              <w:t xml:space="preserve">Estructura Controller / Service / Repository</w:t>
            </w:r>
          </w:p>
        </w:tc>
        <w:tc>
          <w:tcPr>
            <w:tcW w:type="dxa" w:w="4500"/>
          </w:tcPr>
          <w:p>
            <w:r>
              <w:rPr>
                <w:b w:val="false"/>
                <w:bCs w:val="false"/>
                <w:sz w:val="20"/>
                <w:szCs w:val="20"/>
              </w:rPr>
              <w:t xml:space="preserve">Cumplido en todos los servicios</w:t>
            </w:r>
          </w:p>
        </w:tc>
      </w:tr>
      <w:tr>
        <w:tc>
          <w:tcPr>
            <w:tcW w:type="dxa" w:w="5500"/>
          </w:tcPr>
          <w:p>
            <w:r>
              <w:rPr>
                <w:b w:val="false"/>
                <w:bCs w:val="false"/>
                <w:sz w:val="20"/>
                <w:szCs w:val="20"/>
              </w:rPr>
              <w:t xml:space="preserve">CRUD completo por microservicio de dominio</w:t>
            </w:r>
          </w:p>
        </w:tc>
        <w:tc>
          <w:tcPr>
            <w:tcW w:type="dxa" w:w="4500"/>
          </w:tcPr>
          <w:p>
            <w:r>
              <w:rPr>
                <w:b w:val="false"/>
                <w:bCs w:val="false"/>
                <w:sz w:val="20"/>
                <w:szCs w:val="20"/>
              </w:rPr>
              <w:t xml:space="preserve">Cumplido</w:t>
            </w:r>
          </w:p>
        </w:tc>
      </w:tr>
      <w:tr>
        <w:tc>
          <w:tcPr>
            <w:tcW w:type="dxa" w:w="5500"/>
          </w:tcPr>
          <w:p>
            <w:r>
              <w:rPr>
                <w:b w:val="false"/>
                <w:bCs w:val="false"/>
                <w:sz w:val="20"/>
                <w:szCs w:val="20"/>
              </w:rPr>
              <w:t xml:space="preserve">Manejo centralizado de errores (custom exceptions + try/catch)</w:t>
            </w:r>
          </w:p>
        </w:tc>
        <w:tc>
          <w:tcPr>
            <w:tcW w:type="dxa" w:w="4500"/>
          </w:tcPr>
          <w:p>
            <w:r>
              <w:rPr>
                <w:b w:val="false"/>
                <w:bCs w:val="false"/>
                <w:sz w:val="20"/>
                <w:szCs w:val="20"/>
              </w:rPr>
              <w:t xml:space="preserve">Cumplido (GlobalExceptionHandler por servicio)</w:t>
            </w:r>
          </w:p>
        </w:tc>
      </w:tr>
      <w:tr>
        <w:tc>
          <w:tcPr>
            <w:tcW w:type="dxa" w:w="5500"/>
          </w:tcPr>
          <w:p>
            <w:r>
              <w:rPr>
                <w:b w:val="false"/>
                <w:bCs w:val="false"/>
                <w:sz w:val="20"/>
                <w:szCs w:val="20"/>
              </w:rPr>
              <w:t xml:space="preserve">Comunicación entre microservicios</w:t>
            </w:r>
          </w:p>
        </w:tc>
        <w:tc>
          <w:tcPr>
            <w:tcW w:type="dxa" w:w="4500"/>
          </w:tcPr>
          <w:p>
            <w:r>
              <w:rPr>
                <w:b w:val="false"/>
                <w:bCs w:val="false"/>
                <w:sz w:val="20"/>
                <w:szCs w:val="20"/>
              </w:rPr>
              <w:t xml:space="preserve">Cumplido (WebClient + Eureka)</w:t>
            </w:r>
          </w:p>
        </w:tc>
      </w:tr>
      <w:tr>
        <w:tc>
          <w:tcPr>
            <w:tcW w:type="dxa" w:w="5500"/>
          </w:tcPr>
          <w:p>
            <w:r>
              <w:rPr>
                <w:b w:val="false"/>
                <w:bCs w:val="false"/>
                <w:sz w:val="20"/>
                <w:szCs w:val="20"/>
              </w:rPr>
              <w:t xml:space="preserve">Docker Compose</w:t>
            </w:r>
          </w:p>
        </w:tc>
        <w:tc>
          <w:tcPr>
            <w:tcW w:type="dxa" w:w="4500"/>
          </w:tcPr>
          <w:p>
            <w:r>
              <w:rPr>
                <w:b w:val="false"/>
                <w:bCs w:val="false"/>
                <w:sz w:val="20"/>
                <w:szCs w:val="20"/>
              </w:rPr>
              <w:t xml:space="preserve">Cumplido (20 contenedores orquestados)</w:t>
            </w:r>
          </w:p>
        </w:tc>
      </w:tr>
      <w:tr>
        <w:tc>
          <w:tcPr>
            <w:tcW w:type="dxa" w:w="5500"/>
          </w:tcPr>
          <w:p>
            <w:r>
              <w:rPr>
                <w:b w:val="false"/>
                <w:bCs w:val="false"/>
                <w:sz w:val="20"/>
                <w:szCs w:val="20"/>
              </w:rPr>
              <w:t xml:space="preserve">API Gateway configurado</w:t>
            </w:r>
          </w:p>
        </w:tc>
        <w:tc>
          <w:tcPr>
            <w:tcW w:type="dxa" w:w="4500"/>
          </w:tcPr>
          <w:p>
            <w:r>
              <w:rPr>
                <w:b w:val="false"/>
                <w:bCs w:val="false"/>
                <w:sz w:val="20"/>
                <w:szCs w:val="20"/>
              </w:rPr>
              <w:t xml:space="preserve">Cumplido (Spring Cloud Gateway + filtro JWT)</w:t>
            </w:r>
          </w:p>
        </w:tc>
      </w:tr>
      <w:tr>
        <w:tc>
          <w:tcPr>
            <w:tcW w:type="dxa" w:w="5500"/>
          </w:tcPr>
          <w:p>
            <w:r>
              <w:rPr>
                <w:b w:val="false"/>
                <w:bCs w:val="false"/>
                <w:sz w:val="20"/>
                <w:szCs w:val="20"/>
              </w:rPr>
              <w:t xml:space="preserve">Sesión de usuario (JWT)</w:t>
            </w:r>
          </w:p>
        </w:tc>
        <w:tc>
          <w:tcPr>
            <w:tcW w:type="dxa" w:w="4500"/>
          </w:tcPr>
          <w:p>
            <w:r>
              <w:rPr>
                <w:b w:val="false"/>
                <w:bCs w:val="false"/>
                <w:sz w:val="20"/>
                <w:szCs w:val="20"/>
              </w:rPr>
              <w:t xml:space="preserve">Cumplido</w:t>
            </w:r>
          </w:p>
        </w:tc>
      </w:tr>
      <w:tr>
        <w:tc>
          <w:tcPr>
            <w:tcW w:type="dxa" w:w="5500"/>
          </w:tcPr>
          <w:p>
            <w:r>
              <w:rPr>
                <w:b w:val="false"/>
                <w:bCs w:val="false"/>
                <w:sz w:val="20"/>
                <w:szCs w:val="20"/>
              </w:rPr>
              <w:t xml:space="preserve">Javadoc en métodos de servicios</w:t>
            </w:r>
          </w:p>
        </w:tc>
        <w:tc>
          <w:tcPr>
            <w:tcW w:type="dxa" w:w="4500"/>
          </w:tcPr>
          <w:p>
            <w:r>
              <w:rPr>
                <w:b w:val="false"/>
                <w:bCs w:val="false"/>
                <w:sz w:val="20"/>
                <w:szCs w:val="20"/>
              </w:rPr>
              <w:t xml:space="preserve">Cumplido — 100% de los métodos públicos documentados</w:t>
            </w:r>
          </w:p>
        </w:tc>
      </w:tr>
      <w:tr>
        <w:tc>
          <w:tcPr>
            <w:tcW w:type="dxa" w:w="5500"/>
          </w:tcPr>
          <w:p>
            <w:r>
              <w:rPr>
                <w:b w:val="false"/>
                <w:bCs w:val="false"/>
                <w:sz w:val="20"/>
                <w:szCs w:val="20"/>
              </w:rPr>
              <w:t xml:space="preserve">Cobertura de tests con Jacoco (min. 40%)</w:t>
            </w:r>
          </w:p>
        </w:tc>
        <w:tc>
          <w:tcPr>
            <w:tcW w:type="dxa" w:w="4500"/>
          </w:tcPr>
          <w:p>
            <w:r>
              <w:rPr>
                <w:b w:val="false"/>
                <w:bCs w:val="false"/>
                <w:sz w:val="20"/>
                <w:szCs w:val="20"/>
              </w:rPr>
              <w:t xml:space="preserve">Cumplido — plugin configurado con umbral 40% en los 9 microservicios</w:t>
            </w:r>
          </w:p>
        </w:tc>
      </w:tr>
      <w:tr>
        <w:tc>
          <w:tcPr>
            <w:tcW w:type="dxa" w:w="5500"/>
          </w:tcPr>
          <w:p>
            <w:r>
              <w:rPr>
                <w:b w:val="false"/>
                <w:bCs w:val="false"/>
                <w:sz w:val="20"/>
                <w:szCs w:val="20"/>
              </w:rPr>
              <w:t xml:space="preserve">Tests unitarios de lógica de negocio</w:t>
            </w:r>
          </w:p>
        </w:tc>
        <w:tc>
          <w:tcPr>
            <w:tcW w:type="dxa" w:w="4500"/>
          </w:tcPr>
          <w:p>
            <w:r>
              <w:rPr>
                <w:b w:val="false"/>
                <w:bCs w:val="false"/>
                <w:sz w:val="20"/>
                <w:szCs w:val="20"/>
              </w:rPr>
              <w:t xml:space="preserve">Cumplido — 36 tests con JUnit 5 + Mockito en las 9 clases *Service</w:t>
            </w:r>
          </w:p>
        </w:tc>
      </w:tr>
      <w:tr>
        <w:tc>
          <w:tcPr>
            <w:tcW w:type="dxa" w:w="5500"/>
          </w:tcPr>
          <w:p>
            <w:r>
              <w:rPr>
                <w:b w:val="false"/>
                <w:bCs w:val="false"/>
                <w:sz w:val="20"/>
                <w:szCs w:val="20"/>
              </w:rPr>
              <w:t xml:space="preserve">Integración GlitchTip (logs en pantalla)</w:t>
            </w:r>
          </w:p>
        </w:tc>
        <w:tc>
          <w:tcPr>
            <w:tcW w:type="dxa" w:w="4500"/>
          </w:tcPr>
          <w:p>
            <w:r>
              <w:rPr>
                <w:b w:val="false"/>
                <w:bCs w:val="false"/>
                <w:sz w:val="20"/>
                <w:szCs w:val="20"/>
              </w:rPr>
              <w:t xml:space="preserve">Cumplido — sentry-spring-boot-starter-jakarta en 9 MS + BFF, activable con GLITCHTIP_DSN</w:t>
            </w:r>
          </w:p>
        </w:tc>
      </w:tr>
      <w:tr>
        <w:tc>
          <w:tcPr>
            <w:tcW w:type="dxa" w:w="5500"/>
          </w:tcPr>
          <w:p>
            <w:r>
              <w:rPr>
                <w:b w:val="false"/>
                <w:bCs w:val="false"/>
                <w:sz w:val="20"/>
                <w:szCs w:val="20"/>
              </w:rPr>
              <w:t xml:space="preserve">Uso adecuado de GitHub y branches</w:t>
            </w:r>
          </w:p>
        </w:tc>
        <w:tc>
          <w:tcPr>
            <w:tcW w:type="dxa" w:w="4500"/>
          </w:tcPr>
          <w:p>
            <w:r>
              <w:rPr>
                <w:b w:val="false"/>
                <w:bCs w:val="false"/>
                <w:sz w:val="20"/>
                <w:szCs w:val="20"/>
              </w:rPr>
              <w:t xml:space="preserve">A verificar por el equipo</w:t>
            </w:r>
          </w:p>
        </w:tc>
      </w:tr>
      <w:tr>
        <w:tc>
          <w:tcPr>
            <w:tcW w:type="dxa" w:w="5500"/>
          </w:tcPr>
          <w:p>
            <w:r>
              <w:rPr>
                <w:b w:val="false"/>
                <w:bCs w:val="false"/>
                <w:sz w:val="20"/>
                <w:szCs w:val="20"/>
              </w:rPr>
              <w:t xml:space="preserve">Trello (bonus)</w:t>
            </w:r>
          </w:p>
        </w:tc>
        <w:tc>
          <w:tcPr>
            <w:tcW w:type="dxa" w:w="4500"/>
          </w:tcPr>
          <w:p>
            <w:r>
              <w:rPr>
                <w:b w:val="false"/>
                <w:bCs w:val="false"/>
                <w:sz w:val="20"/>
                <w:szCs w:val="20"/>
              </w:rPr>
              <w:t xml:space="preserve">A verificar por el equipo</w:t>
            </w:r>
          </w:p>
        </w:tc>
      </w:tr>
    </w:tbl>
    <w:p>
      <w:pPr>
        <w:pStyle w:val="Heading1"/>
        <w:spacing w:after="150" w:before="300"/>
      </w:pPr>
      <w:r>
        <w:t xml:space="preserve">9. Conclusión</w:t>
      </w:r>
    </w:p>
    <w:p>
      <w:pPr>
        <w:spacing w:after="120"/>
      </w:pPr>
      <w:r>
        <w:t xml:space="preserve">La arquitectura de FullRepar cumple con los lineamientos estructurales exigidos: separación de responsabilidades por dominio, una base de datos por servicio (solo donde aplica), comunicación desacoplada vía descubrimiento de servicios, y un punto de entrada único con autenticación centralizada. Adicionalmente, el sistema ya cuenta con cobertura de pruebas verificada por Jacoco, Javadoc completo en la capa de servicios, y observabilidad centralizada mediante GlitchTip, cerrando los puntos pendientes identificados en la primera versión del proyecto.</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2026-07-15T20:21:12.411Z</dcterms:created>
  <dcterms:modified xsi:type="dcterms:W3CDTF">2026-07-15T20:21:12.411Z</dcterms:modified>
</cp:coreProperties>
</file>

<file path=docProps/custom.xml><?xml version="1.0" encoding="utf-8"?>
<Properties xmlns="http://schemas.openxmlformats.org/officeDocument/2006/custom-properties" xmlns:vt="http://schemas.openxmlformats.org/officeDocument/2006/docPropsVTypes"/>
</file>