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480"/>
        <w:jc w:val="center"/>
      </w:pPr>
      <w:r>
        <w:rPr>
          <w:rFonts w:ascii="Calibri" w:cs="Calibri" w:eastAsia="Calibri" w:hAnsi="Calibri"/>
          <w:b/>
          <w:bCs/>
          <w:color w:val="1B2A4A"/>
          <w:sz w:val="64"/>
          <w:szCs w:val="64"/>
        </w:rPr>
        <w:t xml:space="preserve">HUSTLEXP</w:t>
      </w:r>
    </w:p>
    <w:p>
      <w:pPr>
        <w:pBdr>
          <w:bottom w:val="single" w:color="2E75B6" w:sz="8" w:space="8"/>
        </w:pBdr>
        <w:spacing w:after="480" w:before="0"/>
        <w:jc w:val="center"/>
      </w:pPr>
      <w:r>
        <w:rPr>
          <w:rFonts w:ascii="Calibri" w:cs="Calibri" w:eastAsia="Calibri" w:hAnsi="Calibri"/>
          <w:b/>
          <w:bCs/>
          <w:color w:val="2E75B6"/>
          <w:sz w:val="36"/>
          <w:szCs w:val="36"/>
        </w:rPr>
        <w:t xml:space="preserve">ACCEPTABLE USE POLICY</w:t>
      </w:r>
    </w:p>
    <w:p>
      <w:pPr>
        <w:spacing w:after="60" w:before="60"/>
      </w:pPr>
      <w:r>
        <w:t xml:space="preserve"/>
      </w:r>
    </w:p>
    <w:p>
      <w:pPr>
        <w:spacing w:after="100" w:before="200"/>
        <w:jc w:val="center"/>
      </w:pPr>
      <w:r>
        <w:rPr>
          <w:rFonts w:ascii="Calibri" w:cs="Calibri" w:eastAsia="Calibri" w:hAnsi="Calibri"/>
          <w:color w:val="555555"/>
          <w:sz w:val="22"/>
          <w:szCs w:val="22"/>
        </w:rPr>
        <w:t xml:space="preserve">Effective Date: [Effective Date]</w:t>
      </w:r>
    </w:p>
    <w:p>
      <w:pPr>
        <w:spacing w:after="80" w:before="80"/>
        <w:jc w:val="center"/>
      </w:pPr>
      <w:r>
        <w:rPr>
          <w:rFonts w:ascii="Calibri" w:cs="Calibri" w:eastAsia="Calibri" w:hAnsi="Calibri"/>
          <w:color w:val="555555"/>
          <w:sz w:val="22"/>
          <w:szCs w:val="22"/>
        </w:rPr>
        <w:t xml:space="preserve">Version 1.0</w:t>
      </w:r>
    </w:p>
    <w:p>
      <w:pPr>
        <w:spacing w:after="80" w:before="80"/>
        <w:jc w:val="center"/>
      </w:pPr>
      <w:r>
        <w:rPr>
          <w:rFonts w:ascii="Calibri" w:cs="Calibri" w:eastAsia="Calibri" w:hAnsi="Calibri"/>
          <w:i/>
          <w:iCs/>
          <w:color w:val="555555"/>
          <w:sz w:val="22"/>
          <w:szCs w:val="22"/>
        </w:rPr>
        <w:t xml:space="preserve">Applies To: All Registered Users (Hustlers, Posters, and Administrators)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Calibri" w:cs="Calibri" w:eastAsia="Calibri" w:hAnsi="Calibri"/>
          <w:b/>
          <w:bCs/>
          <w:color w:val="1B2A4A"/>
          <w:sz w:val="20"/>
          <w:szCs w:val="20"/>
        </w:rPr>
        <w:t xml:space="preserve">HustleXP, Inc.</w:t>
      </w:r>
    </w:p>
    <w:p>
      <w:pPr>
        <w:jc w:val="center"/>
      </w:pPr>
      <w:r>
        <w:rPr>
          <w:rFonts w:ascii="Calibri" w:cs="Calibri" w:eastAsia="Calibri" w:hAnsi="Calibri"/>
          <w:color w:val="2E75B6"/>
          <w:sz w:val="20"/>
          <w:szCs w:val="20"/>
        </w:rPr>
        <w:t xml:space="preserve">trust@hustlexp.com</w:t>
      </w:r>
    </w:p>
    <w:p>
      <w:r>
        <w:br w:type="page"/>
      </w:r>
    </w:p>
    <w:p>
      <w:pPr>
        <w:sectPr>
          <w:pgSz w:w="12240" w:h="15840" w:orient="portrait"/>
          <w:pgMar w:top="1440" w:right="1440" w:bottom="1440" w:left="1440" w:header="708" w:footer="708" w:gutter="0"/>
          <w:pgNumType/>
          <w:docGrid w:linePitch="360"/>
        </w:sectPr>
      </w:pPr>
    </w:p>
    <w:p>
      <w:pPr>
        <w:pBdr>
          <w:bottom w:val="single" w:color="2E75B6" w:sz="6" w:space="6"/>
        </w:pBdr>
        <w:spacing w:after="320" w:before="0"/>
        <w:jc w:val="center"/>
      </w:pPr>
      <w:r>
        <w:rPr>
          <w:rFonts w:ascii="Calibri" w:cs="Calibri" w:eastAsia="Calibri" w:hAnsi="Calibri"/>
          <w:b/>
          <w:bCs/>
          <w:color w:val="1B2A4A"/>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Calibri" w:cs="Calibri" w:eastAsia="Calibri" w:hAnsi="Calibri"/>
          <w:b/>
          <w:bCs/>
          <w:color w:val="1B2A4A"/>
          <w:sz w:val="28"/>
          <w:szCs w:val="28"/>
        </w:rPr>
        <w:t xml:space="preserve">1. PURPOSE AND SCOPE</w:t>
      </w:r>
    </w:p>
    <w:p>
      <w:pPr>
        <w:pStyle w:val="Heading2"/>
        <w:spacing w:after="80" w:before="280"/>
      </w:pPr>
      <w:r>
        <w:rPr>
          <w:rFonts w:ascii="Calibri" w:cs="Calibri" w:eastAsia="Calibri" w:hAnsi="Calibri"/>
          <w:b/>
          <w:bCs/>
          <w:color w:val="2E75B6"/>
          <w:sz w:val="22"/>
          <w:szCs w:val="22"/>
        </w:rPr>
        <w:t xml:space="preserve">1.1 Purpose</w:t>
      </w:r>
    </w:p>
    <w:p>
      <w:pPr>
        <w:spacing w:after="100" w:before="60"/>
        <w:jc w:val="both"/>
      </w:pPr>
      <w:r>
        <w:rPr>
          <w:rFonts w:ascii="Calibri" w:cs="Calibri" w:eastAsia="Calibri" w:hAnsi="Calibri"/>
          <w:b w:val="false"/>
          <w:bCs w:val="false"/>
          <w:i w:val="false"/>
          <w:iCs w:val="false"/>
          <w:color w:val="1A1A1A"/>
          <w:sz w:val="20"/>
          <w:szCs w:val="20"/>
        </w:rPr>
        <w:t xml:space="preserve">This Acceptable Use Policy ("AUP" or "Policy") establishes the rules and standards governing all use of the HustleXP mobile application, website, application programming interfaces (APIs), and all related services (collectively, the "Platform"). This Policy exists to protect the safety, integrity, and trustworthiness of the HustleXP community and to ensure that the Platform is used only for its intended purpose: connecting independent workers ("Hustlers") with task-posters ("Posters") in a lawful, transparent, and mutually respectful marketplace.</w:t>
      </w:r>
    </w:p>
    <w:p>
      <w:pPr>
        <w:pStyle w:val="Heading2"/>
        <w:spacing w:after="80" w:before="280"/>
      </w:pPr>
      <w:r>
        <w:rPr>
          <w:rFonts w:ascii="Calibri" w:cs="Calibri" w:eastAsia="Calibri" w:hAnsi="Calibri"/>
          <w:b/>
          <w:bCs/>
          <w:color w:val="2E75B6"/>
          <w:sz w:val="22"/>
          <w:szCs w:val="22"/>
        </w:rPr>
        <w:t xml:space="preserve">1.2 Scope</w:t>
      </w:r>
    </w:p>
    <w:p>
      <w:pPr>
        <w:spacing w:after="100" w:before="60"/>
        <w:jc w:val="both"/>
      </w:pPr>
      <w:r>
        <w:rPr>
          <w:rFonts w:ascii="Calibri" w:cs="Calibri" w:eastAsia="Calibri" w:hAnsi="Calibri"/>
          <w:b w:val="false"/>
          <w:bCs w:val="false"/>
          <w:i w:val="false"/>
          <w:iCs w:val="false"/>
          <w:color w:val="1A1A1A"/>
          <w:sz w:val="20"/>
          <w:szCs w:val="20"/>
        </w:rPr>
        <w:t xml:space="preserve">This AUP applies to:</w:t>
      </w:r>
    </w:p>
    <w:p>
      <w:pPr>
        <w:pStyle w:val="ListParagraph"/>
        <w:numPr>
          <w:ilvl w:val="0"/>
          <w:numId w:val="2"/>
        </w:numPr>
        <w:spacing w:after="60" w:before="40"/>
      </w:pPr>
      <w:r>
        <w:rPr>
          <w:rFonts w:ascii="Calibri" w:cs="Calibri" w:eastAsia="Calibri" w:hAnsi="Calibri"/>
          <w:color w:val="1A1A1A"/>
          <w:sz w:val="20"/>
          <w:szCs w:val="20"/>
        </w:rPr>
        <w:t xml:space="preserve">All registered users of the Platform, regardless of account type or geographic location</w:t>
      </w:r>
    </w:p>
    <w:p>
      <w:pPr>
        <w:pStyle w:val="ListParagraph"/>
        <w:numPr>
          <w:ilvl w:val="0"/>
          <w:numId w:val="2"/>
        </w:numPr>
        <w:spacing w:after="60" w:before="40"/>
      </w:pPr>
      <w:r>
        <w:rPr>
          <w:rFonts w:ascii="Calibri" w:cs="Calibri" w:eastAsia="Calibri" w:hAnsi="Calibri"/>
          <w:color w:val="1A1A1A"/>
          <w:sz w:val="20"/>
          <w:szCs w:val="20"/>
        </w:rPr>
        <w:t xml:space="preserve">All content submitted through the Platform, including task listings, messages, proof photos, reviews, and profile information</w:t>
      </w:r>
    </w:p>
    <w:p>
      <w:pPr>
        <w:pStyle w:val="ListParagraph"/>
        <w:numPr>
          <w:ilvl w:val="0"/>
          <w:numId w:val="2"/>
        </w:numPr>
        <w:spacing w:after="60" w:before="40"/>
      </w:pPr>
      <w:r>
        <w:rPr>
          <w:rFonts w:ascii="Calibri" w:cs="Calibri" w:eastAsia="Calibri" w:hAnsi="Calibri"/>
          <w:color w:val="1A1A1A"/>
          <w:sz w:val="20"/>
          <w:szCs w:val="20"/>
        </w:rPr>
        <w:t xml:space="preserve">All programmatic access to Platform APIs, including access by third-party applications authorized by users</w:t>
      </w:r>
    </w:p>
    <w:p>
      <w:pPr>
        <w:pStyle w:val="ListParagraph"/>
        <w:numPr>
          <w:ilvl w:val="0"/>
          <w:numId w:val="2"/>
        </w:numPr>
        <w:spacing w:after="60" w:before="40"/>
      </w:pPr>
      <w:r>
        <w:rPr>
          <w:rFonts w:ascii="Calibri" w:cs="Calibri" w:eastAsia="Calibri" w:hAnsi="Calibri"/>
          <w:color w:val="1A1A1A"/>
          <w:sz w:val="20"/>
          <w:szCs w:val="20"/>
        </w:rPr>
        <w:t xml:space="preserve">All conduct that occurs on or through the Platform, or that directly and materially affects other Platform users or the integrity of the Platform itself</w:t>
      </w:r>
    </w:p>
    <w:p>
      <w:pPr>
        <w:pStyle w:val="Heading2"/>
        <w:spacing w:after="80" w:before="280"/>
      </w:pPr>
      <w:r>
        <w:rPr>
          <w:rFonts w:ascii="Calibri" w:cs="Calibri" w:eastAsia="Calibri" w:hAnsi="Calibri"/>
          <w:b/>
          <w:bCs/>
          <w:color w:val="2E75B6"/>
          <w:sz w:val="22"/>
          <w:szCs w:val="22"/>
        </w:rPr>
        <w:t xml:space="preserve">1.3 Relationship to Other Agreements</w:t>
      </w:r>
    </w:p>
    <w:p>
      <w:pPr>
        <w:spacing w:after="100" w:before="60"/>
        <w:jc w:val="both"/>
      </w:pPr>
      <w:r>
        <w:rPr>
          <w:rFonts w:ascii="Calibri" w:cs="Calibri" w:eastAsia="Calibri" w:hAnsi="Calibri"/>
          <w:b w:val="false"/>
          <w:bCs w:val="false"/>
          <w:i w:val="false"/>
          <w:iCs w:val="false"/>
          <w:color w:val="1A1A1A"/>
          <w:sz w:val="20"/>
          <w:szCs w:val="20"/>
        </w:rPr>
        <w:t xml:space="preserve">This AUP supplements, and is incorporated by reference into, the HustleXP Terms of Service and any other applicable user agreements. In the event of a conflict between this AUP and another agreement, the more restrictive provision applies. Capitalized terms not defined herein have the meanings ascribed to them in the Terms of Service.</w:t>
      </w:r>
    </w:p>
    <w:p>
      <w:pPr>
        <w:pStyle w:val="Heading2"/>
        <w:spacing w:after="80" w:before="280"/>
      </w:pPr>
      <w:r>
        <w:rPr>
          <w:rFonts w:ascii="Calibri" w:cs="Calibri" w:eastAsia="Calibri" w:hAnsi="Calibri"/>
          <w:b/>
          <w:bCs/>
          <w:color w:val="2E75B6"/>
          <w:sz w:val="22"/>
          <w:szCs w:val="22"/>
        </w:rPr>
        <w:t xml:space="preserve">1.4 Agreement to This Policy</w:t>
      </w:r>
    </w:p>
    <w:p>
      <w:pPr>
        <w:spacing w:after="100" w:before="60"/>
        <w:jc w:val="both"/>
      </w:pPr>
      <w:r>
        <w:rPr>
          <w:rFonts w:ascii="Calibri" w:cs="Calibri" w:eastAsia="Calibri" w:hAnsi="Calibri"/>
          <w:b w:val="false"/>
          <w:bCs w:val="false"/>
          <w:i w:val="false"/>
          <w:iCs w:val="false"/>
          <w:color w:val="1A1A1A"/>
          <w:sz w:val="20"/>
          <w:szCs w:val="20"/>
        </w:rPr>
        <w:t xml:space="preserve">By registering for or continuing to use the Platform, you agree to comply with this AUP in its entirety. If you do not agree with any provision of this Policy, you must discontinue use of the Platform immediately.</w:t>
      </w:r>
    </w:p>
    <w:p>
      <w:pPr>
        <w:pStyle w:val="Heading1"/>
        <w:pBdr>
          <w:bottom w:val="single" w:color="2E75B6" w:sz="6" w:space="4"/>
        </w:pBdr>
        <w:spacing w:after="120" w:before="360"/>
      </w:pPr>
      <w:r>
        <w:rPr>
          <w:rFonts w:ascii="Calibri" w:cs="Calibri" w:eastAsia="Calibri" w:hAnsi="Calibri"/>
          <w:b/>
          <w:bCs/>
          <w:color w:val="1B2A4A"/>
          <w:sz w:val="28"/>
          <w:szCs w:val="28"/>
        </w:rPr>
        <w:t xml:space="preserve">2. PROHIBITED TASK CATEGORIES</w:t>
      </w:r>
    </w:p>
    <w:p>
      <w:pPr>
        <w:spacing w:after="100" w:before="60"/>
        <w:jc w:val="both"/>
      </w:pPr>
      <w:r>
        <w:rPr>
          <w:rFonts w:ascii="Calibri" w:cs="Calibri" w:eastAsia="Calibri" w:hAnsi="Calibri"/>
          <w:b w:val="false"/>
          <w:bCs w:val="false"/>
          <w:i w:val="false"/>
          <w:iCs w:val="false"/>
          <w:color w:val="1A1A1A"/>
          <w:sz w:val="20"/>
          <w:szCs w:val="20"/>
        </w:rPr>
        <w:t xml:space="preserve">No user may post, accept, solicit, facilitate, or otherwise participate in any task that falls within the categories described in this Section. These prohibitions apply regardless of how the task is framed, described, or characterized.</w:t>
      </w:r>
    </w:p>
    <w:p>
      <w:pPr>
        <w:pStyle w:val="Heading2"/>
        <w:spacing w:after="80" w:before="280"/>
      </w:pPr>
      <w:r>
        <w:rPr>
          <w:rFonts w:ascii="Calibri" w:cs="Calibri" w:eastAsia="Calibri" w:hAnsi="Calibri"/>
          <w:b/>
          <w:bCs/>
          <w:color w:val="2E75B6"/>
          <w:sz w:val="22"/>
          <w:szCs w:val="22"/>
        </w:rPr>
        <w:t xml:space="preserve">2.1 Illegal Activities</w:t>
      </w:r>
    </w:p>
    <w:p>
      <w:pPr>
        <w:spacing w:after="100" w:before="60"/>
        <w:jc w:val="both"/>
      </w:pPr>
      <w:r>
        <w:rPr>
          <w:rFonts w:ascii="Calibri" w:cs="Calibri" w:eastAsia="Calibri" w:hAnsi="Calibri"/>
          <w:b w:val="false"/>
          <w:bCs w:val="false"/>
          <w:i w:val="false"/>
          <w:iCs w:val="false"/>
          <w:color w:val="1A1A1A"/>
          <w:sz w:val="20"/>
          <w:szCs w:val="20"/>
        </w:rPr>
        <w:t xml:space="preserve">Tasks that require, facilitate, or are reasonably likely to result in any conduct that violates federal, state, local, or applicable international law are strictly prohibited. This includes, without limitation, tasks that involve criminal trespass, theft, vandalism, bribery, extortion, or any other criminal act.</w:t>
      </w:r>
    </w:p>
    <w:p>
      <w:pPr>
        <w:pStyle w:val="Heading2"/>
        <w:spacing w:after="80" w:before="280"/>
      </w:pPr>
      <w:r>
        <w:rPr>
          <w:rFonts w:ascii="Calibri" w:cs="Calibri" w:eastAsia="Calibri" w:hAnsi="Calibri"/>
          <w:b/>
          <w:bCs/>
          <w:color w:val="2E75B6"/>
          <w:sz w:val="22"/>
          <w:szCs w:val="22"/>
        </w:rPr>
        <w:t xml:space="preserve">2.2 Unlicensed Professional Services</w:t>
      </w:r>
    </w:p>
    <w:p>
      <w:pPr>
        <w:spacing w:after="100" w:before="60"/>
        <w:jc w:val="both"/>
      </w:pPr>
      <w:r>
        <w:rPr>
          <w:rFonts w:ascii="Calibri" w:cs="Calibri" w:eastAsia="Calibri" w:hAnsi="Calibri"/>
          <w:b w:val="false"/>
          <w:bCs w:val="false"/>
          <w:i w:val="false"/>
          <w:iCs w:val="false"/>
          <w:color w:val="1A1A1A"/>
          <w:sz w:val="20"/>
          <w:szCs w:val="20"/>
        </w:rPr>
        <w:t xml:space="preserve">Tasks for which the primary deliverable constitutes the practice of a licensed profession are prohibited. This includes, without limitation:</w:t>
      </w:r>
    </w:p>
    <w:p>
      <w:pPr>
        <w:pStyle w:val="ListParagraph"/>
        <w:numPr>
          <w:ilvl w:val="0"/>
          <w:numId w:val="2"/>
        </w:numPr>
        <w:spacing w:after="60" w:before="40"/>
      </w:pPr>
      <w:r>
        <w:rPr>
          <w:rFonts w:ascii="Calibri" w:cs="Calibri" w:eastAsia="Calibri" w:hAnsi="Calibri"/>
          <w:color w:val="1A1A1A"/>
          <w:sz w:val="20"/>
          <w:szCs w:val="20"/>
        </w:rPr>
        <w:t xml:space="preserve">Medical diagnosis, treatment advice, or clinical services requiring a medical license</w:t>
      </w:r>
    </w:p>
    <w:p>
      <w:pPr>
        <w:pStyle w:val="ListParagraph"/>
        <w:numPr>
          <w:ilvl w:val="0"/>
          <w:numId w:val="2"/>
        </w:numPr>
        <w:spacing w:after="60" w:before="40"/>
      </w:pPr>
      <w:r>
        <w:rPr>
          <w:rFonts w:ascii="Calibri" w:cs="Calibri" w:eastAsia="Calibri" w:hAnsi="Calibri"/>
          <w:color w:val="1A1A1A"/>
          <w:sz w:val="20"/>
          <w:szCs w:val="20"/>
        </w:rPr>
        <w:t xml:space="preserve">Legal advice, document drafting constituting legal practice, or representation</w:t>
      </w:r>
    </w:p>
    <w:p>
      <w:pPr>
        <w:pStyle w:val="ListParagraph"/>
        <w:numPr>
          <w:ilvl w:val="0"/>
          <w:numId w:val="2"/>
        </w:numPr>
        <w:spacing w:after="60" w:before="40"/>
      </w:pPr>
      <w:r>
        <w:rPr>
          <w:rFonts w:ascii="Calibri" w:cs="Calibri" w:eastAsia="Calibri" w:hAnsi="Calibri"/>
          <w:color w:val="1A1A1A"/>
          <w:sz w:val="20"/>
          <w:szCs w:val="20"/>
        </w:rPr>
        <w:t xml:space="preserve">Financial planning, investment advice, or securities recommendations requiring licensure</w:t>
      </w:r>
    </w:p>
    <w:p>
      <w:pPr>
        <w:pStyle w:val="ListParagraph"/>
        <w:numPr>
          <w:ilvl w:val="0"/>
          <w:numId w:val="2"/>
        </w:numPr>
        <w:spacing w:after="60" w:before="40"/>
      </w:pPr>
      <w:r>
        <w:rPr>
          <w:rFonts w:ascii="Calibri" w:cs="Calibri" w:eastAsia="Calibri" w:hAnsi="Calibri"/>
          <w:color w:val="1A1A1A"/>
          <w:sz w:val="20"/>
          <w:szCs w:val="20"/>
        </w:rPr>
        <w:t xml:space="preserve">Licensed contracting, electrical, plumbing, or structural work in jurisdictions where such work requires a license, unless the Hustler has verified the applicable license on their profile and it has been confirmed by the Platform</w:t>
      </w:r>
    </w:p>
    <w:p>
      <w:pPr>
        <w:pStyle w:val="Heading2"/>
        <w:spacing w:after="80" w:before="280"/>
      </w:pPr>
      <w:r>
        <w:rPr>
          <w:rFonts w:ascii="Calibri" w:cs="Calibri" w:eastAsia="Calibri" w:hAnsi="Calibri"/>
          <w:b/>
          <w:bCs/>
          <w:color w:val="2E75B6"/>
          <w:sz w:val="22"/>
          <w:szCs w:val="22"/>
        </w:rPr>
        <w:t xml:space="preserve">2.3 Adult Content and Sexual Services</w:t>
      </w:r>
    </w:p>
    <w:p>
      <w:pPr>
        <w:spacing w:after="100" w:before="60"/>
        <w:jc w:val="both"/>
      </w:pPr>
      <w:r>
        <w:rPr>
          <w:rFonts w:ascii="Calibri" w:cs="Calibri" w:eastAsia="Calibri" w:hAnsi="Calibri"/>
          <w:b w:val="false"/>
          <w:bCs w:val="false"/>
          <w:i w:val="false"/>
          <w:iCs w:val="false"/>
          <w:color w:val="1A1A1A"/>
          <w:sz w:val="20"/>
          <w:szCs w:val="20"/>
        </w:rPr>
        <w:t xml:space="preserve">Tasks of a sexual nature are strictly prohibited, including but not limited to: adult content creation, escort or companionship services with a sexual component, and any task where sexual conduct is an expected or implied element of performance.</w:t>
      </w:r>
    </w:p>
    <w:p>
      <w:pPr>
        <w:pStyle w:val="Heading2"/>
        <w:spacing w:after="80" w:before="280"/>
      </w:pPr>
      <w:r>
        <w:rPr>
          <w:rFonts w:ascii="Calibri" w:cs="Calibri" w:eastAsia="Calibri" w:hAnsi="Calibri"/>
          <w:b/>
          <w:bCs/>
          <w:color w:val="2E75B6"/>
          <w:sz w:val="22"/>
          <w:szCs w:val="22"/>
        </w:rPr>
        <w:t xml:space="preserve">2.4 Exploitation of Minors</w:t>
      </w:r>
    </w:p>
    <w:p>
      <w:pPr>
        <w:spacing w:after="100" w:before="60"/>
        <w:jc w:val="both"/>
      </w:pPr>
      <w:r>
        <w:rPr>
          <w:rFonts w:ascii="Calibri" w:cs="Calibri" w:eastAsia="Calibri" w:hAnsi="Calibri"/>
          <w:b w:val="false"/>
          <w:bCs w:val="false"/>
          <w:i w:val="false"/>
          <w:iCs w:val="false"/>
          <w:color w:val="1A1A1A"/>
          <w:sz w:val="20"/>
          <w:szCs w:val="20"/>
        </w:rPr>
        <w:t xml:space="preserve">Any task involving minors in any capacity that could constitute exploitation, abuse, or endangerment is absolutely prohibited. This includes tasks that involve unsupervised contact with minors unless background check clearance has been granted and documented within the Platform.</w:t>
      </w:r>
    </w:p>
    <w:p>
      <w:pPr>
        <w:pStyle w:val="Heading2"/>
        <w:spacing w:after="80" w:before="280"/>
      </w:pPr>
      <w:r>
        <w:rPr>
          <w:rFonts w:ascii="Calibri" w:cs="Calibri" w:eastAsia="Calibri" w:hAnsi="Calibri"/>
          <w:b/>
          <w:bCs/>
          <w:color w:val="2E75B6"/>
          <w:sz w:val="22"/>
          <w:szCs w:val="22"/>
        </w:rPr>
        <w:t xml:space="preserve">2.5 Surveillance and Stalking</w:t>
      </w:r>
    </w:p>
    <w:p>
      <w:pPr>
        <w:spacing w:after="100" w:before="60"/>
        <w:jc w:val="both"/>
      </w:pPr>
      <w:r>
        <w:rPr>
          <w:rFonts w:ascii="Calibri" w:cs="Calibri" w:eastAsia="Calibri" w:hAnsi="Calibri"/>
          <w:b w:val="false"/>
          <w:bCs w:val="false"/>
          <w:i w:val="false"/>
          <w:iCs w:val="false"/>
          <w:color w:val="1A1A1A"/>
          <w:sz w:val="20"/>
          <w:szCs w:val="20"/>
        </w:rPr>
        <w:t xml:space="preserve">Tasks involving the surveillance, monitoring, tracking, or recording of individuals without their express knowledge and consent are prohibited. This includes tasks to install tracking software, conduct physical surveillance, or aggregate personal data on individuals for non-consented purposes.</w:t>
      </w:r>
    </w:p>
    <w:p>
      <w:pPr>
        <w:pStyle w:val="Heading2"/>
        <w:spacing w:after="80" w:before="280"/>
      </w:pPr>
      <w:r>
        <w:rPr>
          <w:rFonts w:ascii="Calibri" w:cs="Calibri" w:eastAsia="Calibri" w:hAnsi="Calibri"/>
          <w:b/>
          <w:bCs/>
          <w:color w:val="2E75B6"/>
          <w:sz w:val="22"/>
          <w:szCs w:val="22"/>
        </w:rPr>
        <w:t xml:space="preserve">2.6 Fraudulent and Deceptive Activities</w:t>
      </w:r>
    </w:p>
    <w:p>
      <w:pPr>
        <w:spacing w:after="100" w:before="60"/>
        <w:jc w:val="both"/>
      </w:pPr>
      <w:r>
        <w:rPr>
          <w:rFonts w:ascii="Calibri" w:cs="Calibri" w:eastAsia="Calibri" w:hAnsi="Calibri"/>
          <w:b w:val="false"/>
          <w:bCs w:val="false"/>
          <w:i w:val="false"/>
          <w:iCs w:val="false"/>
          <w:color w:val="1A1A1A"/>
          <w:sz w:val="20"/>
          <w:szCs w:val="20"/>
        </w:rPr>
        <w:t xml:space="preserve">Tasks designed to deceive third parties or the Platform are prohibited. Examples include: generating fake reviews or ratings for any product, service, or person; astroturfing; manipulating social media engagement metrics; and any form of coordinated inauthentic behavior.</w:t>
      </w:r>
    </w:p>
    <w:p>
      <w:pPr>
        <w:pStyle w:val="Heading2"/>
        <w:spacing w:after="80" w:before="280"/>
      </w:pPr>
      <w:r>
        <w:rPr>
          <w:rFonts w:ascii="Calibri" w:cs="Calibri" w:eastAsia="Calibri" w:hAnsi="Calibri"/>
          <w:b/>
          <w:bCs/>
          <w:color w:val="2E75B6"/>
          <w:sz w:val="22"/>
          <w:szCs w:val="22"/>
        </w:rPr>
        <w:t xml:space="preserve">2.7 Fee Circumvention</w:t>
      </w:r>
    </w:p>
    <w:p>
      <w:pPr>
        <w:spacing w:after="100" w:before="60"/>
        <w:jc w:val="both"/>
      </w:pPr>
      <w:r>
        <w:rPr>
          <w:rFonts w:ascii="Calibri" w:cs="Calibri" w:eastAsia="Calibri" w:hAnsi="Calibri"/>
          <w:b w:val="false"/>
          <w:bCs w:val="false"/>
          <w:i w:val="false"/>
          <w:iCs w:val="false"/>
          <w:color w:val="1A1A1A"/>
          <w:sz w:val="20"/>
          <w:szCs w:val="20"/>
        </w:rPr>
        <w:t xml:space="preserve">Tasks that are structured with the purpose, in whole or in part, of routing payment outside the Platform to avoid Platform fees are prohibited. All compensation for tasks arranged through the Platform must flow through the Platform's escrow and payment system.</w:t>
      </w:r>
    </w:p>
    <w:p>
      <w:pPr>
        <w:pStyle w:val="Heading2"/>
        <w:spacing w:after="80" w:before="280"/>
      </w:pPr>
      <w:r>
        <w:rPr>
          <w:rFonts w:ascii="Calibri" w:cs="Calibri" w:eastAsia="Calibri" w:hAnsi="Calibri"/>
          <w:b/>
          <w:bCs/>
          <w:color w:val="2E75B6"/>
          <w:sz w:val="22"/>
          <w:szCs w:val="22"/>
        </w:rPr>
        <w:t xml:space="preserve">2.8 Weapons and Illegal Modifications</w:t>
      </w:r>
    </w:p>
    <w:p>
      <w:pPr>
        <w:spacing w:after="100" w:before="60"/>
        <w:jc w:val="both"/>
      </w:pPr>
      <w:r>
        <w:rPr>
          <w:rFonts w:ascii="Calibri" w:cs="Calibri" w:eastAsia="Calibri" w:hAnsi="Calibri"/>
          <w:b w:val="false"/>
          <w:bCs w:val="false"/>
          <w:i w:val="false"/>
          <w:iCs w:val="false"/>
          <w:color w:val="1A1A1A"/>
          <w:sz w:val="20"/>
          <w:szCs w:val="20"/>
        </w:rPr>
        <w:t xml:space="preserve">Tasks involving the acquisition, transfer, modification, or manufacture of weapons, including illegal firearm modifications, ghost guns, silencers, or any other item prohibited under applicable firearms law, are strictly prohibited.</w:t>
      </w:r>
    </w:p>
    <w:p>
      <w:pPr>
        <w:pStyle w:val="Heading2"/>
        <w:spacing w:after="80" w:before="280"/>
      </w:pPr>
      <w:r>
        <w:rPr>
          <w:rFonts w:ascii="Calibri" w:cs="Calibri" w:eastAsia="Calibri" w:hAnsi="Calibri"/>
          <w:b/>
          <w:bCs/>
          <w:color w:val="2E75B6"/>
          <w:sz w:val="22"/>
          <w:szCs w:val="22"/>
        </w:rPr>
        <w:t xml:space="preserve">2.9 Intellectual Property Violations</w:t>
      </w:r>
    </w:p>
    <w:p>
      <w:pPr>
        <w:spacing w:after="100" w:before="60"/>
        <w:jc w:val="both"/>
      </w:pPr>
      <w:r>
        <w:rPr>
          <w:rFonts w:ascii="Calibri" w:cs="Calibri" w:eastAsia="Calibri" w:hAnsi="Calibri"/>
          <w:b w:val="false"/>
          <w:bCs w:val="false"/>
          <w:i w:val="false"/>
          <w:iCs w:val="false"/>
          <w:color w:val="1A1A1A"/>
          <w:sz w:val="20"/>
          <w:szCs w:val="20"/>
        </w:rPr>
        <w:t xml:space="preserve">Tasks that require or result in the infringement of intellectual property rights are prohibited, including counterfeiting, trademark infringement, unauthorized reproduction of copyrighted works, and software piracy.</w:t>
      </w:r>
    </w:p>
    <w:p>
      <w:pPr>
        <w:pStyle w:val="Heading2"/>
        <w:spacing w:after="80" w:before="280"/>
      </w:pPr>
      <w:r>
        <w:rPr>
          <w:rFonts w:ascii="Calibri" w:cs="Calibri" w:eastAsia="Calibri" w:hAnsi="Calibri"/>
          <w:b/>
          <w:bCs/>
          <w:color w:val="2E75B6"/>
          <w:sz w:val="22"/>
          <w:szCs w:val="22"/>
        </w:rPr>
        <w:t xml:space="preserve">2.10 Tasks Designed to Harm Others</w:t>
      </w:r>
    </w:p>
    <w:p>
      <w:pPr>
        <w:spacing w:after="100" w:before="60"/>
        <w:jc w:val="both"/>
      </w:pPr>
      <w:r>
        <w:rPr>
          <w:rFonts w:ascii="Calibri" w:cs="Calibri" w:eastAsia="Calibri" w:hAnsi="Calibri"/>
          <w:b w:val="false"/>
          <w:bCs w:val="false"/>
          <w:i w:val="false"/>
          <w:iCs w:val="false"/>
          <w:color w:val="1A1A1A"/>
          <w:sz w:val="20"/>
          <w:szCs w:val="20"/>
        </w:rPr>
        <w:t xml:space="preserve">Any task where the purpose, intent, or reasonably foreseeable outcome is to cause physical, financial, reputational, or emotional harm to another person is prohibited.</w:t>
      </w:r>
    </w:p>
    <w:p>
      <w:pPr>
        <w:pStyle w:val="Heading2"/>
        <w:spacing w:after="80" w:before="280"/>
      </w:pPr>
      <w:r>
        <w:rPr>
          <w:rFonts w:ascii="Calibri" w:cs="Calibri" w:eastAsia="Calibri" w:hAnsi="Calibri"/>
          <w:b/>
          <w:bCs/>
          <w:color w:val="2E75B6"/>
          <w:sz w:val="22"/>
          <w:szCs w:val="22"/>
        </w:rPr>
        <w:t xml:space="preserve">2.11 Misclassified Employment</w:t>
      </w:r>
    </w:p>
    <w:p>
      <w:pPr>
        <w:spacing w:after="100" w:before="60"/>
        <w:jc w:val="both"/>
      </w:pPr>
      <w:r>
        <w:rPr>
          <w:rFonts w:ascii="Calibri" w:cs="Calibri" w:eastAsia="Calibri" w:hAnsi="Calibri"/>
          <w:b w:val="false"/>
          <w:bCs w:val="false"/>
          <w:i w:val="false"/>
          <w:iCs w:val="false"/>
          <w:color w:val="1A1A1A"/>
          <w:sz w:val="20"/>
          <w:szCs w:val="20"/>
        </w:rPr>
        <w:t xml:space="preserve">Tasks that would constitute an employment relationship under applicable law are prohibited. HustleXP is a marketplace for independent, project-based work. Tasks that involve ongoing, indefinite, or exclusive service arrangements that create single-employer dependency, or that otherwise satisfy the applicable economic realities or ABC tests for employment, may not be posted. Posters may not use the Platform to source what is, in substance, an employee.</w:t>
      </w:r>
    </w:p>
    <w:p>
      <w:pPr>
        <w:pStyle w:val="Heading2"/>
        <w:spacing w:after="80" w:before="280"/>
      </w:pPr>
      <w:r>
        <w:rPr>
          <w:rFonts w:ascii="Calibri" w:cs="Calibri" w:eastAsia="Calibri" w:hAnsi="Calibri"/>
          <w:b/>
          <w:bCs/>
          <w:color w:val="2E75B6"/>
          <w:sz w:val="22"/>
          <w:szCs w:val="22"/>
        </w:rPr>
        <w:t xml:space="preserve">2.12 Drug-Related Tasks</w:t>
      </w:r>
    </w:p>
    <w:p>
      <w:pPr>
        <w:spacing w:after="100" w:before="60"/>
        <w:jc w:val="both"/>
      </w:pPr>
      <w:r>
        <w:rPr>
          <w:rFonts w:ascii="Calibri" w:cs="Calibri" w:eastAsia="Calibri" w:hAnsi="Calibri"/>
          <w:b w:val="false"/>
          <w:bCs w:val="false"/>
          <w:i w:val="false"/>
          <w:iCs w:val="false"/>
          <w:color w:val="1A1A1A"/>
          <w:sz w:val="20"/>
          <w:szCs w:val="20"/>
        </w:rPr>
        <w:t xml:space="preserve">Tasks involving the acquisition, transportation, distribution, manufacture, or facilitation of controlled substances, or the acquisition of drug paraphernalia, are strictly prohibited.</w:t>
      </w:r>
    </w:p>
    <w:p>
      <w:pPr>
        <w:pStyle w:val="Heading2"/>
        <w:spacing w:after="80" w:before="280"/>
      </w:pPr>
      <w:r>
        <w:rPr>
          <w:rFonts w:ascii="Calibri" w:cs="Calibri" w:eastAsia="Calibri" w:hAnsi="Calibri"/>
          <w:b/>
          <w:bCs/>
          <w:color w:val="2E75B6"/>
          <w:sz w:val="22"/>
          <w:szCs w:val="22"/>
        </w:rPr>
        <w:t xml:space="preserve">2.13 Unauthorized System Access</w:t>
      </w:r>
    </w:p>
    <w:p>
      <w:pPr>
        <w:spacing w:after="100" w:before="60"/>
        <w:jc w:val="both"/>
      </w:pPr>
      <w:r>
        <w:rPr>
          <w:rFonts w:ascii="Calibri" w:cs="Calibri" w:eastAsia="Calibri" w:hAnsi="Calibri"/>
          <w:b w:val="false"/>
          <w:bCs w:val="false"/>
          <w:i w:val="false"/>
          <w:iCs w:val="false"/>
          <w:color w:val="1A1A1A"/>
          <w:sz w:val="20"/>
          <w:szCs w:val="20"/>
        </w:rPr>
        <w:t xml:space="preserve">Tasks requiring or facilitating unauthorized access to computer systems, networks, accounts, or data — including penetration testing on systems the requester does not own or have written authorization to test — are prohibited.</w:t>
      </w:r>
    </w:p>
    <w:p>
      <w:pPr>
        <w:pStyle w:val="Heading2"/>
        <w:spacing w:after="80" w:before="280"/>
      </w:pPr>
      <w:r>
        <w:rPr>
          <w:rFonts w:ascii="Calibri" w:cs="Calibri" w:eastAsia="Calibri" w:hAnsi="Calibri"/>
          <w:b/>
          <w:bCs/>
          <w:color w:val="2E75B6"/>
          <w:sz w:val="22"/>
          <w:szCs w:val="22"/>
        </w:rPr>
        <w:t xml:space="preserve">2.14 In-Home Access Without Background Check Clearance</w:t>
      </w:r>
    </w:p>
    <w:p>
      <w:pPr>
        <w:spacing w:after="100" w:before="60"/>
        <w:jc w:val="both"/>
      </w:pPr>
      <w:r>
        <w:rPr>
          <w:rFonts w:ascii="Calibri" w:cs="Calibri" w:eastAsia="Calibri" w:hAnsi="Calibri"/>
          <w:b w:val="false"/>
          <w:bCs w:val="false"/>
          <w:i w:val="false"/>
          <w:iCs w:val="false"/>
          <w:color w:val="1A1A1A"/>
          <w:sz w:val="20"/>
          <w:szCs w:val="20"/>
        </w:rPr>
        <w:t xml:space="preserve">Any task requiring a Hustler to enter a private residence or other sensitive location is prohibited unless the Hustler has completed and passed a background check through the Platform. Posters must not post such tasks for Hustlers who have not achieved background check clearance status, and Hustlers must not accept such tasks without clearance.</w:t>
      </w:r>
    </w:p>
    <w:p>
      <w:pPr>
        <w:spacing w:after="60" w:before="60"/>
      </w:pPr>
      <w:r>
        <w:t xml:space="preserve"/>
      </w:r>
    </w:p>
    <w:p>
      <w:pPr>
        <w:spacing w:after="80" w:before="120"/>
      </w:pPr>
      <w:r>
        <w:rPr>
          <w:rFonts w:ascii="Calibri" w:cs="Calibri" w:eastAsia="Calibri" w:hAnsi="Calibri"/>
          <w:b/>
          <w:bCs/>
          <w:color w:val="1B2A4A"/>
          <w:sz w:val="20"/>
          <w:szCs w:val="20"/>
        </w:rPr>
        <w:t xml:space="preserve">Table 1: Prohibited Task Categories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C3E50" w:sz="4"/>
              <w:left w:val="single" w:color="2C3E50" w:sz="4"/>
              <w:bottom w:val="single" w:color="2C3E50" w:sz="4"/>
              <w:right w:val="single" w:color="2C3E50" w:sz="4"/>
            </w:tcBorders>
            <w:shd w:fill="1B2A4A" w:val="clear"/>
            <w:tcMar>
              <w:top w:type="dxa" w:w="120"/>
              <w:left w:type="dxa" w:w="140"/>
              <w:bottom w:type="dxa" w:w="120"/>
              <w:right w:type="dxa" w:w="140"/>
            </w:tcMar>
            <w:vAlign w:val="center"/>
          </w:tcPr>
          <w:p>
            <w:pPr>
              <w:jc w:val="left"/>
            </w:pPr>
            <w:r>
              <w:rPr>
                <w:rFonts w:ascii="Calibri" w:cs="Calibri" w:eastAsia="Calibri" w:hAnsi="Calibri"/>
                <w:b/>
                <w:bCs/>
                <w:color w:val="FFFFFF"/>
                <w:sz w:val="18"/>
                <w:szCs w:val="18"/>
              </w:rPr>
              <w:t xml:space="preserve">Prohibited Category</w:t>
            </w:r>
          </w:p>
        </w:tc>
        <w:tc>
          <w:tcPr>
            <w:tcW w:type="dxa" w:w="5760"/>
            <w:tcBorders>
              <w:top w:val="single" w:color="2C3E50" w:sz="4"/>
              <w:left w:val="single" w:color="2C3E50" w:sz="4"/>
              <w:bottom w:val="single" w:color="2C3E50" w:sz="4"/>
              <w:right w:val="single" w:color="2C3E50" w:sz="4"/>
            </w:tcBorders>
            <w:shd w:fill="1B2A4A" w:val="clear"/>
            <w:tcMar>
              <w:top w:type="dxa" w:w="120"/>
              <w:left w:type="dxa" w:w="140"/>
              <w:bottom w:type="dxa" w:w="120"/>
              <w:right w:type="dxa" w:w="140"/>
            </w:tcMar>
            <w:vAlign w:val="center"/>
          </w:tcPr>
          <w:p>
            <w:pPr>
              <w:jc w:val="left"/>
            </w:pPr>
            <w:r>
              <w:rPr>
                <w:rFonts w:ascii="Calibri" w:cs="Calibri" w:eastAsia="Calibri" w:hAnsi="Calibri"/>
                <w:b/>
                <w:bCs/>
                <w:color w:val="FFFFFF"/>
                <w:sz w:val="18"/>
                <w:szCs w:val="18"/>
              </w:rPr>
              <w:t xml:space="preserve">Examples</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Illegal activities</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Criminal acts, trespass, bribery</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Unlicensed professional services</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Medical/legal/financial advice as primary deliverable</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Adult/sexual content</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Escort services, adult content creation</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Exploitation of minors</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Unsupervised contact without background clearance</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Surveillance/stalking</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Installing trackers, physical surveillance</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Fraudulent activities</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Fake reviews, astroturfing</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Fee circumvention</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Off-platform payment arrangements</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Weapons</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Illegal modifications, acquisition, transfer</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IP violations</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Counterfeiting, piracy</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Tasks designed to harm</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Reputational harm, financial harm</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Misclassified employment</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Ongoing exclusive arrangements</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Drug-related</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Acquisition, distribution, paraphernalia</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Unauthorized system access</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Hacking, unauthorized penetration testing</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In-home access without clearance</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Residential entry without background check</w:t>
            </w:r>
          </w:p>
        </w:tc>
      </w:tr>
    </w:tbl>
    <w:p>
      <w:pPr>
        <w:spacing w:after="60" w:before="60"/>
      </w:pPr>
      <w:r>
        <w:t xml:space="preserve"/>
      </w:r>
    </w:p>
    <w:p>
      <w:pPr>
        <w:pStyle w:val="Heading1"/>
        <w:pBdr>
          <w:bottom w:val="single" w:color="2E75B6" w:sz="6" w:space="4"/>
        </w:pBdr>
        <w:spacing w:after="120" w:before="360"/>
      </w:pPr>
      <w:r>
        <w:rPr>
          <w:rFonts w:ascii="Calibri" w:cs="Calibri" w:eastAsia="Calibri" w:hAnsi="Calibri"/>
          <w:b/>
          <w:bCs/>
          <w:color w:val="1B2A4A"/>
          <w:sz w:val="28"/>
          <w:szCs w:val="28"/>
        </w:rPr>
        <w:t xml:space="preserve">3. PROHIBITED USER CONDUCT</w:t>
      </w:r>
    </w:p>
    <w:p>
      <w:pPr>
        <w:spacing w:after="100" w:before="60"/>
        <w:jc w:val="both"/>
      </w:pPr>
      <w:r>
        <w:rPr>
          <w:rFonts w:ascii="Calibri" w:cs="Calibri" w:eastAsia="Calibri" w:hAnsi="Calibri"/>
          <w:b w:val="false"/>
          <w:bCs w:val="false"/>
          <w:i w:val="false"/>
          <w:iCs w:val="false"/>
          <w:color w:val="1A1A1A"/>
          <w:sz w:val="20"/>
          <w:szCs w:val="20"/>
        </w:rPr>
        <w:t xml:space="preserve">In addition to the task category prohibitions in Section 2, all users are prohibited from engaging in the conduct described in this Section, whether or not such conduct relates to a specific task.</w:t>
      </w:r>
    </w:p>
    <w:p>
      <w:pPr>
        <w:pStyle w:val="Heading2"/>
        <w:spacing w:after="80" w:before="280"/>
      </w:pPr>
      <w:r>
        <w:rPr>
          <w:rFonts w:ascii="Calibri" w:cs="Calibri" w:eastAsia="Calibri" w:hAnsi="Calibri"/>
          <w:b/>
          <w:bCs/>
          <w:color w:val="2E75B6"/>
          <w:sz w:val="22"/>
          <w:szCs w:val="22"/>
        </w:rPr>
        <w:t xml:space="preserve">3.1 Multiple Accounts and Ban Evasion</w:t>
      </w:r>
    </w:p>
    <w:p>
      <w:pPr>
        <w:spacing w:after="100" w:before="60"/>
        <w:jc w:val="both"/>
      </w:pPr>
      <w:r>
        <w:rPr>
          <w:rFonts w:ascii="Calibri" w:cs="Calibri" w:eastAsia="Calibri" w:hAnsi="Calibri"/>
          <w:b w:val="false"/>
          <w:bCs w:val="false"/>
          <w:i w:val="false"/>
          <w:iCs w:val="false"/>
          <w:color w:val="1A1A1A"/>
          <w:sz w:val="20"/>
          <w:szCs w:val="20"/>
        </w:rPr>
        <w:t xml:space="preserve">Creating, operating, or maintaining multiple Platform accounts without prior written authorization from HustleXP is prohibited. This prohibition specifically includes creating new accounts to evade account suspensions or permanent bans, or to circumvent trust tier thresholds or XP-based access controls.</w:t>
      </w:r>
    </w:p>
    <w:p>
      <w:pPr>
        <w:pStyle w:val="Heading2"/>
        <w:spacing w:after="80" w:before="280"/>
      </w:pPr>
      <w:r>
        <w:rPr>
          <w:rFonts w:ascii="Calibri" w:cs="Calibri" w:eastAsia="Calibri" w:hAnsi="Calibri"/>
          <w:b/>
          <w:bCs/>
          <w:color w:val="2E75B6"/>
          <w:sz w:val="22"/>
          <w:szCs w:val="22"/>
        </w:rPr>
        <w:t xml:space="preserve">3.2 False Identity and Misrepresentation</w:t>
      </w:r>
    </w:p>
    <w:p>
      <w:pPr>
        <w:spacing w:after="100" w:before="60"/>
        <w:jc w:val="both"/>
      </w:pPr>
      <w:r>
        <w:rPr>
          <w:rFonts w:ascii="Calibri" w:cs="Calibri" w:eastAsia="Calibri" w:hAnsi="Calibri"/>
          <w:b w:val="false"/>
          <w:bCs w:val="false"/>
          <w:i w:val="false"/>
          <w:iCs w:val="false"/>
          <w:color w:val="1A1A1A"/>
          <w:sz w:val="20"/>
          <w:szCs w:val="20"/>
        </w:rPr>
        <w:t xml:space="preserve">Users may not impersonate any person or entity, including other Platform users, Platform employees, or public figures. Users may not misrepresent their professional credentials, certifications, licenses, or background check status.</w:t>
      </w:r>
    </w:p>
    <w:p>
      <w:pPr>
        <w:pStyle w:val="Heading2"/>
        <w:spacing w:after="80" w:before="280"/>
      </w:pPr>
      <w:r>
        <w:rPr>
          <w:rFonts w:ascii="Calibri" w:cs="Calibri" w:eastAsia="Calibri" w:hAnsi="Calibri"/>
          <w:b/>
          <w:bCs/>
          <w:color w:val="2E75B6"/>
          <w:sz w:val="22"/>
          <w:szCs w:val="22"/>
        </w:rPr>
        <w:t xml:space="preserve">3.3 Ratings and Review Manipulation</w:t>
      </w:r>
    </w:p>
    <w:p>
      <w:pPr>
        <w:spacing w:after="100" w:before="60"/>
        <w:jc w:val="both"/>
      </w:pPr>
      <w:r>
        <w:rPr>
          <w:rFonts w:ascii="Calibri" w:cs="Calibri" w:eastAsia="Calibri" w:hAnsi="Calibri"/>
          <w:b w:val="false"/>
          <w:bCs w:val="false"/>
          <w:i w:val="false"/>
          <w:iCs w:val="false"/>
          <w:color w:val="1A1A1A"/>
          <w:sz w:val="20"/>
          <w:szCs w:val="20"/>
        </w:rPr>
        <w:t xml:space="preserve">Coordinated review bombing, soliciting fake positive reviews, and any other attempt to artificially inflate or deflate a user's rating are prohibited. Users may not offer incentives in exchange for positive reviews.</w:t>
      </w:r>
    </w:p>
    <w:p>
      <w:pPr>
        <w:pStyle w:val="Heading2"/>
        <w:spacing w:after="80" w:before="280"/>
      </w:pPr>
      <w:r>
        <w:rPr>
          <w:rFonts w:ascii="Calibri" w:cs="Calibri" w:eastAsia="Calibri" w:hAnsi="Calibri"/>
          <w:b/>
          <w:bCs/>
          <w:color w:val="2E75B6"/>
          <w:sz w:val="22"/>
          <w:szCs w:val="22"/>
        </w:rPr>
        <w:t xml:space="preserve">3.4 Off-Platform Solicitation</w:t>
      </w:r>
    </w:p>
    <w:p>
      <w:pPr>
        <w:spacing w:after="100" w:before="60"/>
        <w:jc w:val="both"/>
      </w:pPr>
      <w:r>
        <w:rPr>
          <w:rFonts w:ascii="Calibri" w:cs="Calibri" w:eastAsia="Calibri" w:hAnsi="Calibri"/>
          <w:b w:val="false"/>
          <w:bCs w:val="false"/>
          <w:i w:val="false"/>
          <w:iCs w:val="false"/>
          <w:color w:val="1A1A1A"/>
          <w:sz w:val="20"/>
          <w:szCs w:val="20"/>
        </w:rPr>
        <w:t xml:space="preserve">Users who make contact through the Platform may not solicit one another to transact outside the Platform for services that fall within the Platform's scope. This prohibition applies during active task engagement and for a period of twelve (12) months following the conclusion of any task relationship established through the Platform.</w:t>
      </w:r>
    </w:p>
    <w:p>
      <w:pPr>
        <w:pStyle w:val="Heading2"/>
        <w:spacing w:after="80" w:before="280"/>
      </w:pPr>
      <w:r>
        <w:rPr>
          <w:rFonts w:ascii="Calibri" w:cs="Calibri" w:eastAsia="Calibri" w:hAnsi="Calibri"/>
          <w:b/>
          <w:bCs/>
          <w:color w:val="2E75B6"/>
          <w:sz w:val="22"/>
          <w:szCs w:val="22"/>
        </w:rPr>
        <w:t xml:space="preserve">3.5 Account Credential Sharing</w:t>
      </w:r>
    </w:p>
    <w:p>
      <w:pPr>
        <w:spacing w:after="100" w:before="60"/>
        <w:jc w:val="both"/>
      </w:pPr>
      <w:r>
        <w:rPr>
          <w:rFonts w:ascii="Calibri" w:cs="Calibri" w:eastAsia="Calibri" w:hAnsi="Calibri"/>
          <w:b w:val="false"/>
          <w:bCs w:val="false"/>
          <w:i w:val="false"/>
          <w:iCs w:val="false"/>
          <w:color w:val="1A1A1A"/>
          <w:sz w:val="20"/>
          <w:szCs w:val="20"/>
        </w:rPr>
        <w:t xml:space="preserve">Users may not share their login credentials with any other person. Each account must be operated solely by the registered account holder. Credential sharing that enables unauthorized access is a security violation and a breach of this Policy.</w:t>
      </w:r>
    </w:p>
    <w:p>
      <w:pPr>
        <w:pStyle w:val="Heading2"/>
        <w:spacing w:after="80" w:before="280"/>
      </w:pPr>
      <w:r>
        <w:rPr>
          <w:rFonts w:ascii="Calibri" w:cs="Calibri" w:eastAsia="Calibri" w:hAnsi="Calibri"/>
          <w:b/>
          <w:bCs/>
          <w:color w:val="2E75B6"/>
          <w:sz w:val="22"/>
          <w:szCs w:val="22"/>
        </w:rPr>
        <w:t xml:space="preserve">3.6 Automated Access Without Authorization</w:t>
      </w:r>
    </w:p>
    <w:p>
      <w:pPr>
        <w:spacing w:after="100" w:before="60"/>
        <w:jc w:val="both"/>
      </w:pPr>
      <w:r>
        <w:rPr>
          <w:rFonts w:ascii="Calibri" w:cs="Calibri" w:eastAsia="Calibri" w:hAnsi="Calibri"/>
          <w:b w:val="false"/>
          <w:bCs w:val="false"/>
          <w:i w:val="false"/>
          <w:iCs w:val="false"/>
          <w:color w:val="1A1A1A"/>
          <w:sz w:val="20"/>
          <w:szCs w:val="20"/>
        </w:rPr>
        <w:t xml:space="preserve">Users may not access the Platform using bots, scrapers, crawlers, or other automated tools without a valid, written API license agreement with HustleXP. Unauthorized automated access that exceeds normal human interaction patterns is prohibited regardless of intent.</w:t>
      </w:r>
    </w:p>
    <w:p>
      <w:pPr>
        <w:pStyle w:val="Heading2"/>
        <w:spacing w:after="80" w:before="280"/>
      </w:pPr>
      <w:r>
        <w:rPr>
          <w:rFonts w:ascii="Calibri" w:cs="Calibri" w:eastAsia="Calibri" w:hAnsi="Calibri"/>
          <w:b/>
          <w:bCs/>
          <w:color w:val="2E75B6"/>
          <w:sz w:val="22"/>
          <w:szCs w:val="22"/>
        </w:rPr>
        <w:t xml:space="preserve">3.7 Harassment, Threats, and Discrimination</w:t>
      </w:r>
    </w:p>
    <w:p>
      <w:pPr>
        <w:spacing w:after="100" w:before="60"/>
        <w:jc w:val="both"/>
      </w:pPr>
      <w:r>
        <w:rPr>
          <w:rFonts w:ascii="Calibri" w:cs="Calibri" w:eastAsia="Calibri" w:hAnsi="Calibri"/>
          <w:b w:val="false"/>
          <w:bCs w:val="false"/>
          <w:i w:val="false"/>
          <w:iCs w:val="false"/>
          <w:color w:val="1A1A1A"/>
          <w:sz w:val="20"/>
          <w:szCs w:val="20"/>
        </w:rPr>
        <w:t xml:space="preserve">Users must treat all other Platform participants with basic dignity and respect. The following are prohibited:</w:t>
      </w:r>
    </w:p>
    <w:p>
      <w:pPr>
        <w:pStyle w:val="ListParagraph"/>
        <w:numPr>
          <w:ilvl w:val="0"/>
          <w:numId w:val="2"/>
        </w:numPr>
        <w:spacing w:after="60" w:before="40"/>
      </w:pPr>
      <w:r>
        <w:rPr>
          <w:rFonts w:ascii="Calibri" w:cs="Calibri" w:eastAsia="Calibri" w:hAnsi="Calibri"/>
          <w:color w:val="1A1A1A"/>
          <w:sz w:val="20"/>
          <w:szCs w:val="20"/>
        </w:rPr>
        <w:t xml:space="preserve">Harassment, intimidation, threats of violence, or unwanted repeated contact</w:t>
      </w:r>
    </w:p>
    <w:p>
      <w:pPr>
        <w:pStyle w:val="ListParagraph"/>
        <w:numPr>
          <w:ilvl w:val="0"/>
          <w:numId w:val="2"/>
        </w:numPr>
        <w:spacing w:after="60" w:before="40"/>
      </w:pPr>
      <w:r>
        <w:rPr>
          <w:rFonts w:ascii="Calibri" w:cs="Calibri" w:eastAsia="Calibri" w:hAnsi="Calibri"/>
          <w:color w:val="1A1A1A"/>
          <w:sz w:val="20"/>
          <w:szCs w:val="20"/>
        </w:rPr>
        <w:t xml:space="preserve">Discriminatory conduct based on race, ethnicity, national origin, religion, gender, gender identity, sexual orientation, disability, age, or any other characteristic protected by applicable law</w:t>
      </w:r>
    </w:p>
    <w:p>
      <w:pPr>
        <w:pStyle w:val="ListParagraph"/>
        <w:numPr>
          <w:ilvl w:val="0"/>
          <w:numId w:val="2"/>
        </w:numPr>
        <w:spacing w:after="60" w:before="40"/>
      </w:pPr>
      <w:r>
        <w:rPr>
          <w:rFonts w:ascii="Calibri" w:cs="Calibri" w:eastAsia="Calibri" w:hAnsi="Calibri"/>
          <w:color w:val="1A1A1A"/>
          <w:sz w:val="20"/>
          <w:szCs w:val="20"/>
        </w:rPr>
        <w:t xml:space="preserve">Using the Platform's messaging system to transmit abusive, offensive, or harassing communications</w:t>
      </w:r>
    </w:p>
    <w:p>
      <w:pPr>
        <w:pStyle w:val="Heading2"/>
        <w:spacing w:after="80" w:before="280"/>
      </w:pPr>
      <w:r>
        <w:rPr>
          <w:rFonts w:ascii="Calibri" w:cs="Calibri" w:eastAsia="Calibri" w:hAnsi="Calibri"/>
          <w:b/>
          <w:bCs/>
          <w:color w:val="2E75B6"/>
          <w:sz w:val="22"/>
          <w:szCs w:val="22"/>
        </w:rPr>
        <w:t xml:space="preserve">3.8 Doxxing</w:t>
      </w:r>
    </w:p>
    <w:p>
      <w:pPr>
        <w:spacing w:after="100" w:before="60"/>
        <w:jc w:val="both"/>
      </w:pPr>
      <w:r>
        <w:rPr>
          <w:rFonts w:ascii="Calibri" w:cs="Calibri" w:eastAsia="Calibri" w:hAnsi="Calibri"/>
          <w:b w:val="false"/>
          <w:bCs w:val="false"/>
          <w:i w:val="false"/>
          <w:iCs w:val="false"/>
          <w:color w:val="1A1A1A"/>
          <w:sz w:val="20"/>
          <w:szCs w:val="20"/>
        </w:rPr>
        <w:t xml:space="preserve">Users may not post, transmit, or otherwise disclose the private personal information of any other individual — including but not limited to home addresses, phone numbers, financial information, or personal photographs — without that individual's express consent.</w:t>
      </w:r>
    </w:p>
    <w:p>
      <w:pPr>
        <w:pStyle w:val="Heading2"/>
        <w:spacing w:after="80" w:before="280"/>
      </w:pPr>
      <w:r>
        <w:rPr>
          <w:rFonts w:ascii="Calibri" w:cs="Calibri" w:eastAsia="Calibri" w:hAnsi="Calibri"/>
          <w:b/>
          <w:bCs/>
          <w:color w:val="2E75B6"/>
          <w:sz w:val="22"/>
          <w:szCs w:val="22"/>
        </w:rPr>
        <w:t xml:space="preserve">3.9 Reverse Engineering</w:t>
      </w:r>
    </w:p>
    <w:p>
      <w:pPr>
        <w:spacing w:after="100" w:before="60"/>
        <w:jc w:val="both"/>
      </w:pPr>
      <w:r>
        <w:rPr>
          <w:rFonts w:ascii="Calibri" w:cs="Calibri" w:eastAsia="Calibri" w:hAnsi="Calibri"/>
          <w:b w:val="false"/>
          <w:bCs w:val="false"/>
          <w:i w:val="false"/>
          <w:iCs w:val="false"/>
          <w:color w:val="1A1A1A"/>
          <w:sz w:val="20"/>
          <w:szCs w:val="20"/>
        </w:rPr>
        <w:t xml:space="preserve">Users may not attempt to reverse-engineer, decompile, disassemble, or otherwise derive the source code, algorithms, or trade secrets of the Platform, including HustleXP's matching algorithm, trust scoring system, or XP calculation methodology.</w:t>
      </w:r>
    </w:p>
    <w:p>
      <w:pPr>
        <w:pStyle w:val="Heading2"/>
        <w:spacing w:after="80" w:before="280"/>
      </w:pPr>
      <w:r>
        <w:rPr>
          <w:rFonts w:ascii="Calibri" w:cs="Calibri" w:eastAsia="Calibri" w:hAnsi="Calibri"/>
          <w:b/>
          <w:bCs/>
          <w:color w:val="2E75B6"/>
          <w:sz w:val="22"/>
          <w:szCs w:val="22"/>
        </w:rPr>
        <w:t xml:space="preserve">3.10 Pretextual Information Collection</w:t>
      </w:r>
    </w:p>
    <w:p>
      <w:pPr>
        <w:spacing w:after="100" w:before="60"/>
        <w:jc w:val="both"/>
      </w:pPr>
      <w:r>
        <w:rPr>
          <w:rFonts w:ascii="Calibri" w:cs="Calibri" w:eastAsia="Calibri" w:hAnsi="Calibri"/>
          <w:b w:val="false"/>
          <w:bCs w:val="false"/>
          <w:i w:val="false"/>
          <w:iCs w:val="false"/>
          <w:color w:val="1A1A1A"/>
          <w:sz w:val="20"/>
          <w:szCs w:val="20"/>
        </w:rPr>
        <w:t xml:space="preserve">Users may not create task postings as a pretext to collect personal information from applicants or to conduct data harvesting. Task postings must represent genuine, bona fide work opportunities.</w:t>
      </w:r>
    </w:p>
    <w:p>
      <w:pPr>
        <w:pStyle w:val="Heading2"/>
        <w:spacing w:after="80" w:before="280"/>
      </w:pPr>
      <w:r>
        <w:rPr>
          <w:rFonts w:ascii="Calibri" w:cs="Calibri" w:eastAsia="Calibri" w:hAnsi="Calibri"/>
          <w:b/>
          <w:bCs/>
          <w:color w:val="2E75B6"/>
          <w:sz w:val="22"/>
          <w:szCs w:val="22"/>
        </w:rPr>
        <w:t xml:space="preserve">3.11 Fraudulent Proof of Completion</w:t>
      </w:r>
    </w:p>
    <w:p>
      <w:pPr>
        <w:spacing w:after="100" w:before="60"/>
        <w:jc w:val="both"/>
      </w:pPr>
      <w:r>
        <w:rPr>
          <w:rFonts w:ascii="Calibri" w:cs="Calibri" w:eastAsia="Calibri" w:hAnsi="Calibri"/>
          <w:b w:val="false"/>
          <w:bCs w:val="false"/>
          <w:i w:val="false"/>
          <w:iCs w:val="false"/>
          <w:color w:val="1A1A1A"/>
          <w:sz w:val="20"/>
          <w:szCs w:val="20"/>
        </w:rPr>
        <w:t xml:space="preserve">Hustlers may not submit fabricated, altered, or otherwise fraudulent proof of task completion. This includes submitting photographs from prior tasks, stock images, or digitally manipulated images as evidence of work performed.</w:t>
      </w:r>
    </w:p>
    <w:p>
      <w:pPr>
        <w:pStyle w:val="Heading2"/>
        <w:spacing w:after="80" w:before="280"/>
      </w:pPr>
      <w:r>
        <w:rPr>
          <w:rFonts w:ascii="Calibri" w:cs="Calibri" w:eastAsia="Calibri" w:hAnsi="Calibri"/>
          <w:b/>
          <w:bCs/>
          <w:color w:val="2E75B6"/>
          <w:sz w:val="22"/>
          <w:szCs w:val="22"/>
        </w:rPr>
        <w:t xml:space="preserve">3.12 Accepting Tasks Without Intent to Complete</w:t>
      </w:r>
    </w:p>
    <w:p>
      <w:pPr>
        <w:spacing w:after="100" w:before="60"/>
        <w:jc w:val="both"/>
      </w:pPr>
      <w:r>
        <w:rPr>
          <w:rFonts w:ascii="Calibri" w:cs="Calibri" w:eastAsia="Calibri" w:hAnsi="Calibri"/>
          <w:b w:val="false"/>
          <w:bCs w:val="false"/>
          <w:i w:val="false"/>
          <w:iCs w:val="false"/>
          <w:color w:val="1A1A1A"/>
          <w:sz w:val="20"/>
          <w:szCs w:val="20"/>
        </w:rPr>
        <w:t xml:space="preserve">Hustlers may not accept tasks without a genuine intent to perform and complete the work. Accepting tasks to block competitors, to meet tier thresholds without performing work, or for any reason other than actual performance is prohibited.</w:t>
      </w:r>
    </w:p>
    <w:p>
      <w:pPr>
        <w:pStyle w:val="Heading2"/>
        <w:spacing w:after="80" w:before="280"/>
      </w:pPr>
      <w:r>
        <w:rPr>
          <w:rFonts w:ascii="Calibri" w:cs="Calibri" w:eastAsia="Calibri" w:hAnsi="Calibri"/>
          <w:b/>
          <w:bCs/>
          <w:color w:val="2E75B6"/>
          <w:sz w:val="22"/>
          <w:szCs w:val="22"/>
        </w:rPr>
        <w:t xml:space="preserve">3.13 Recruiting for Employment</w:t>
      </w:r>
    </w:p>
    <w:p>
      <w:pPr>
        <w:spacing w:after="100" w:before="60"/>
        <w:jc w:val="both"/>
      </w:pPr>
      <w:r>
        <w:rPr>
          <w:rFonts w:ascii="Calibri" w:cs="Calibri" w:eastAsia="Calibri" w:hAnsi="Calibri"/>
          <w:b w:val="false"/>
          <w:bCs w:val="false"/>
          <w:i w:val="false"/>
          <w:iCs w:val="false"/>
          <w:color w:val="1A1A1A"/>
          <w:sz w:val="20"/>
          <w:szCs w:val="20"/>
        </w:rPr>
        <w:t xml:space="preserve">Posters may not use the Platform to identify and recruit independent workers for what is, in substance, employment. Using the Platform as a recruiting tool to convert independent workers into employees or to staff ongoing roles in circumvention of applicable employment law and associated tax obligations is prohibited.</w:t>
      </w:r>
    </w:p>
    <w:p>
      <w:pPr>
        <w:spacing w:after="60" w:before="60"/>
      </w:pPr>
      <w:r>
        <w:t xml:space="preserve"/>
      </w:r>
    </w:p>
    <w:p>
      <w:pPr>
        <w:spacing w:after="80" w:before="120"/>
      </w:pPr>
      <w:r>
        <w:rPr>
          <w:rFonts w:ascii="Calibri" w:cs="Calibri" w:eastAsia="Calibri" w:hAnsi="Calibri"/>
          <w:b/>
          <w:bCs/>
          <w:color w:val="1B2A4A"/>
          <w:sz w:val="20"/>
          <w:szCs w:val="20"/>
        </w:rPr>
        <w:t xml:space="preserve">Table 2: Prohibited Conduct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C3E50" w:sz="4"/>
              <w:left w:val="single" w:color="2C3E50" w:sz="4"/>
              <w:bottom w:val="single" w:color="2C3E50" w:sz="4"/>
              <w:right w:val="single" w:color="2C3E50" w:sz="4"/>
            </w:tcBorders>
            <w:shd w:fill="1B2A4A" w:val="clear"/>
            <w:tcMar>
              <w:top w:type="dxa" w:w="120"/>
              <w:left w:type="dxa" w:w="140"/>
              <w:bottom w:type="dxa" w:w="120"/>
              <w:right w:type="dxa" w:w="140"/>
            </w:tcMar>
            <w:vAlign w:val="center"/>
          </w:tcPr>
          <w:p>
            <w:pPr>
              <w:jc w:val="left"/>
            </w:pPr>
            <w:r>
              <w:rPr>
                <w:rFonts w:ascii="Calibri" w:cs="Calibri" w:eastAsia="Calibri" w:hAnsi="Calibri"/>
                <w:b/>
                <w:bCs/>
                <w:color w:val="FFFFFF"/>
                <w:sz w:val="18"/>
                <w:szCs w:val="18"/>
              </w:rPr>
              <w:t xml:space="preserve">Prohibited Conduct</w:t>
            </w:r>
          </w:p>
        </w:tc>
        <w:tc>
          <w:tcPr>
            <w:tcW w:type="dxa" w:w="5760"/>
            <w:tcBorders>
              <w:top w:val="single" w:color="2C3E50" w:sz="4"/>
              <w:left w:val="single" w:color="2C3E50" w:sz="4"/>
              <w:bottom w:val="single" w:color="2C3E50" w:sz="4"/>
              <w:right w:val="single" w:color="2C3E50" w:sz="4"/>
            </w:tcBorders>
            <w:shd w:fill="1B2A4A" w:val="clear"/>
            <w:tcMar>
              <w:top w:type="dxa" w:w="120"/>
              <w:left w:type="dxa" w:w="140"/>
              <w:bottom w:type="dxa" w:w="120"/>
              <w:right w:type="dxa" w:w="140"/>
            </w:tcMar>
            <w:vAlign w:val="center"/>
          </w:tcPr>
          <w:p>
            <w:pPr>
              <w:jc w:val="left"/>
            </w:pPr>
            <w:r>
              <w:rPr>
                <w:rFonts w:ascii="Calibri" w:cs="Calibri" w:eastAsia="Calibri" w:hAnsi="Calibri"/>
                <w:b/>
                <w:bCs/>
                <w:color w:val="FFFFFF"/>
                <w:sz w:val="18"/>
                <w:szCs w:val="18"/>
              </w:rPr>
              <w:t xml:space="preserve">Description</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Multiple accounts</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Ban evasion, trust tier gaming</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False identity</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Impersonation, credential misrepresentation</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Rating manipulation</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Fake reviews, coordinated bombing</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Off-platform solicitation</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Routing transactions outside Platform</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Credential sharing</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Sharing login access</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Unauthorized automation</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Bots, scrapers without API license</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Harassment/threats/discrimination</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Abusive conduct toward users</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Doxxing</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Disclosing private info of others</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Reverse engineering</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Decompiling algorithms or source code</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Pretextual data collection</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Fake tasks to harvest personal info</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Fraudulent proof</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Fabricated or altered completion evidence</w:t>
            </w:r>
          </w:p>
        </w:tc>
      </w:tr>
      <w:tr>
        <w:tc>
          <w:tcPr>
            <w:tcW w:type="dxa" w:w="360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Accepting without intent</w:t>
            </w:r>
          </w:p>
        </w:tc>
        <w:tc>
          <w:tcPr>
            <w:tcW w:type="dxa" w:w="5760"/>
            <w:tcBorders>
              <w:top w:val="single" w:color="2C3E50" w:sz="4"/>
              <w:left w:val="single" w:color="2C3E50" w:sz="4"/>
              <w:bottom w:val="single" w:color="2C3E50" w:sz="4"/>
              <w:right w:val="single" w:color="2C3E50" w:sz="4"/>
            </w:tcBorders>
            <w:shd w:fill="EDF2F8"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Task acceptance with no plan to perform</w:t>
            </w:r>
          </w:p>
        </w:tc>
      </w:tr>
      <w:tr>
        <w:tc>
          <w:tcPr>
            <w:tcW w:type="dxa" w:w="360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Employment recruiting</w:t>
            </w:r>
          </w:p>
        </w:tc>
        <w:tc>
          <w:tcPr>
            <w:tcW w:type="dxa" w:w="5760"/>
            <w:tcBorders>
              <w:top w:val="single" w:color="2C3E50" w:sz="4"/>
              <w:left w:val="single" w:color="2C3E50" w:sz="4"/>
              <w:bottom w:val="single" w:color="2C3E50" w:sz="4"/>
              <w:right w:val="single" w:color="2C3E50" w:sz="4"/>
            </w:tcBorders>
            <w:shd w:fill="FFFFFF" w:val="clear"/>
            <w:tcMar>
              <w:top w:type="dxa" w:w="120"/>
              <w:left w:type="dxa" w:w="140"/>
              <w:bottom w:type="dxa" w:w="120"/>
              <w:right w:type="dxa" w:w="140"/>
            </w:tcMar>
          </w:tcPr>
          <w:p>
            <w:pPr>
              <w:jc w:val="left"/>
            </w:pPr>
            <w:r>
              <w:rPr>
                <w:rFonts w:ascii="Calibri" w:cs="Calibri" w:eastAsia="Calibri" w:hAnsi="Calibri"/>
                <w:color w:val="1A1A1A"/>
                <w:sz w:val="18"/>
                <w:szCs w:val="18"/>
              </w:rPr>
              <w:t xml:space="preserve">Using Platform to staff ongoing roles</w:t>
            </w:r>
          </w:p>
        </w:tc>
      </w:tr>
    </w:tbl>
    <w:p>
      <w:pPr>
        <w:spacing w:after="60" w:before="60"/>
      </w:pPr>
      <w:r>
        <w:t xml:space="preserve"/>
      </w:r>
    </w:p>
    <w:p>
      <w:pPr>
        <w:pStyle w:val="Heading1"/>
        <w:pBdr>
          <w:bottom w:val="single" w:color="2E75B6" w:sz="6" w:space="4"/>
        </w:pBdr>
        <w:spacing w:after="120" w:before="360"/>
      </w:pPr>
      <w:r>
        <w:rPr>
          <w:rFonts w:ascii="Calibri" w:cs="Calibri" w:eastAsia="Calibri" w:hAnsi="Calibri"/>
          <w:b/>
          <w:bCs/>
          <w:color w:val="1B2A4A"/>
          <w:sz w:val="28"/>
          <w:szCs w:val="28"/>
        </w:rPr>
        <w:t xml:space="preserve">4. CONTENT STANDARDS</w:t>
      </w:r>
    </w:p>
    <w:p>
      <w:pPr>
        <w:spacing w:after="100" w:before="60"/>
        <w:jc w:val="both"/>
      </w:pPr>
      <w:r>
        <w:rPr>
          <w:rFonts w:ascii="Calibri" w:cs="Calibri" w:eastAsia="Calibri" w:hAnsi="Calibri"/>
          <w:b w:val="false"/>
          <w:bCs w:val="false"/>
          <w:i w:val="false"/>
          <w:iCs w:val="false"/>
          <w:color w:val="1A1A1A"/>
          <w:sz w:val="20"/>
          <w:szCs w:val="20"/>
        </w:rPr>
        <w:t xml:space="preserve">All content submitted by users through the Platform — including task titles, task descriptions, proof photographs, messages, and reviews — must comply with the standards set forth in this Section.</w:t>
      </w:r>
    </w:p>
    <w:p>
      <w:pPr>
        <w:pStyle w:val="Heading2"/>
        <w:spacing w:after="80" w:before="280"/>
      </w:pPr>
      <w:r>
        <w:rPr>
          <w:rFonts w:ascii="Calibri" w:cs="Calibri" w:eastAsia="Calibri" w:hAnsi="Calibri"/>
          <w:b/>
          <w:bCs/>
          <w:color w:val="2E75B6"/>
          <w:sz w:val="22"/>
          <w:szCs w:val="22"/>
        </w:rPr>
        <w:t xml:space="preserve">4.1 Prohibited Content</w:t>
      </w:r>
    </w:p>
    <w:p>
      <w:pPr>
        <w:spacing w:after="100" w:before="60"/>
        <w:jc w:val="both"/>
      </w:pPr>
      <w:r>
        <w:rPr>
          <w:rFonts w:ascii="Calibri" w:cs="Calibri" w:eastAsia="Calibri" w:hAnsi="Calibri"/>
          <w:b w:val="false"/>
          <w:bCs w:val="false"/>
          <w:i w:val="false"/>
          <w:iCs w:val="false"/>
          <w:color w:val="1A1A1A"/>
          <w:sz w:val="20"/>
          <w:szCs w:val="20"/>
        </w:rPr>
        <w:t xml:space="preserve">The following content is prohibited in any user-generated submission on the Platform:</w:t>
      </w:r>
    </w:p>
    <w:p>
      <w:pPr>
        <w:spacing w:after="60" w:before="60"/>
      </w:pPr>
      <w:r>
        <w:t xml:space="preserve"/>
      </w:r>
    </w:p>
    <w:p>
      <w:pPr>
        <w:spacing w:after="60" w:before="80"/>
      </w:pPr>
      <w:r>
        <w:rPr>
          <w:rFonts w:ascii="Calibri" w:cs="Calibri" w:eastAsia="Calibri" w:hAnsi="Calibri"/>
          <w:b/>
          <w:bCs/>
          <w:color w:val="1A1A1A"/>
          <w:sz w:val="20"/>
          <w:szCs w:val="20"/>
        </w:rPr>
        <w:t xml:space="preserve">(a) Hate Speech. </w:t>
      </w:r>
      <w:r>
        <w:rPr>
          <w:rFonts w:ascii="Calibri" w:cs="Calibri" w:eastAsia="Calibri" w:hAnsi="Calibri"/>
          <w:color w:val="1A1A1A"/>
          <w:sz w:val="20"/>
          <w:szCs w:val="20"/>
        </w:rPr>
        <w:t xml:space="preserve">Content that dehumanizes, attacks, or incites violence or discrimination against any individual or group based on race, ethnicity, national origin, religion, gender, gender identity, sexual orientation, disability, or any other protected characteristic.</w:t>
      </w:r>
    </w:p>
    <w:p>
      <w:pPr>
        <w:spacing w:after="60" w:before="80"/>
      </w:pPr>
      <w:r>
        <w:rPr>
          <w:rFonts w:ascii="Calibri" w:cs="Calibri" w:eastAsia="Calibri" w:hAnsi="Calibri"/>
          <w:b/>
          <w:bCs/>
          <w:color w:val="1A1A1A"/>
          <w:sz w:val="20"/>
          <w:szCs w:val="20"/>
        </w:rPr>
        <w:t xml:space="preserve">(b) Sexually Explicit Material. </w:t>
      </w:r>
      <w:r>
        <w:rPr>
          <w:rFonts w:ascii="Calibri" w:cs="Calibri" w:eastAsia="Calibri" w:hAnsi="Calibri"/>
          <w:color w:val="1A1A1A"/>
          <w:sz w:val="20"/>
          <w:szCs w:val="20"/>
        </w:rPr>
        <w:t xml:space="preserve">Pornographic content, nudity intended to be sexually provocative, or any content of a sexual nature.</w:t>
      </w:r>
    </w:p>
    <w:p>
      <w:pPr>
        <w:spacing w:after="60" w:before="80"/>
      </w:pPr>
      <w:r>
        <w:rPr>
          <w:rFonts w:ascii="Calibri" w:cs="Calibri" w:eastAsia="Calibri" w:hAnsi="Calibri"/>
          <w:b/>
          <w:bCs/>
          <w:color w:val="1A1A1A"/>
          <w:sz w:val="20"/>
          <w:szCs w:val="20"/>
        </w:rPr>
        <w:t xml:space="preserve">(c) Graphic Violence. </w:t>
      </w:r>
      <w:r>
        <w:rPr>
          <w:rFonts w:ascii="Calibri" w:cs="Calibri" w:eastAsia="Calibri" w:hAnsi="Calibri"/>
          <w:color w:val="1A1A1A"/>
          <w:sz w:val="20"/>
          <w:szCs w:val="20"/>
        </w:rPr>
        <w:t xml:space="preserve">Content depicting graphic violence, gore, or gratuitous physical harm.</w:t>
      </w:r>
    </w:p>
    <w:p>
      <w:pPr>
        <w:spacing w:after="60" w:before="80"/>
      </w:pPr>
      <w:r>
        <w:rPr>
          <w:rFonts w:ascii="Calibri" w:cs="Calibri" w:eastAsia="Calibri" w:hAnsi="Calibri"/>
          <w:b/>
          <w:bCs/>
          <w:color w:val="1A1A1A"/>
          <w:sz w:val="20"/>
          <w:szCs w:val="20"/>
        </w:rPr>
        <w:t xml:space="preserve">(d) Third-Party Personal Information. </w:t>
      </w:r>
      <w:r>
        <w:rPr>
          <w:rFonts w:ascii="Calibri" w:cs="Calibri" w:eastAsia="Calibri" w:hAnsi="Calibri"/>
          <w:color w:val="1A1A1A"/>
          <w:sz w:val="20"/>
          <w:szCs w:val="20"/>
        </w:rPr>
        <w:t xml:space="preserve">Content that includes the personally identifying information of any third party — including names paired with addresses, financial account numbers, government identification numbers, or medical information — without that person's express consent.</w:t>
      </w:r>
    </w:p>
    <w:p>
      <w:pPr>
        <w:spacing w:after="60" w:before="80"/>
      </w:pPr>
      <w:r>
        <w:rPr>
          <w:rFonts w:ascii="Calibri" w:cs="Calibri" w:eastAsia="Calibri" w:hAnsi="Calibri"/>
          <w:b/>
          <w:bCs/>
          <w:color w:val="1A1A1A"/>
          <w:sz w:val="20"/>
          <w:szCs w:val="20"/>
        </w:rPr>
        <w:t xml:space="preserve">(e) Defamatory Statements. </w:t>
      </w:r>
      <w:r>
        <w:rPr>
          <w:rFonts w:ascii="Calibri" w:cs="Calibri" w:eastAsia="Calibri" w:hAnsi="Calibri"/>
          <w:color w:val="1A1A1A"/>
          <w:sz w:val="20"/>
          <w:szCs w:val="20"/>
        </w:rPr>
        <w:t xml:space="preserve">Content containing false statements of fact presented as true that damage the reputation of an identifiable person or entity.</w:t>
      </w:r>
    </w:p>
    <w:p>
      <w:pPr>
        <w:spacing w:after="80" w:before="80"/>
      </w:pPr>
      <w:r>
        <w:rPr>
          <w:rFonts w:ascii="Calibri" w:cs="Calibri" w:eastAsia="Calibri" w:hAnsi="Calibri"/>
          <w:b/>
          <w:bCs/>
          <w:color w:val="1A1A1A"/>
          <w:sz w:val="20"/>
          <w:szCs w:val="20"/>
        </w:rPr>
        <w:t xml:space="preserve">(f) Spam and Unsolicited Solicitation. </w:t>
      </w:r>
      <w:r>
        <w:rPr>
          <w:rFonts w:ascii="Calibri" w:cs="Calibri" w:eastAsia="Calibri" w:hAnsi="Calibri"/>
          <w:color w:val="1A1A1A"/>
          <w:sz w:val="20"/>
          <w:szCs w:val="20"/>
        </w:rPr>
        <w:t xml:space="preserve">Repetitive, irrelevant, or commercially motivated content unrelated to a task, including unsolicited advertising, chain messages, or promotional material.</w:t>
      </w:r>
    </w:p>
    <w:p>
      <w:pPr>
        <w:pStyle w:val="Heading2"/>
        <w:spacing w:after="80" w:before="280"/>
      </w:pPr>
      <w:r>
        <w:rPr>
          <w:rFonts w:ascii="Calibri" w:cs="Calibri" w:eastAsia="Calibri" w:hAnsi="Calibri"/>
          <w:b/>
          <w:bCs/>
          <w:color w:val="2E75B6"/>
          <w:sz w:val="22"/>
          <w:szCs w:val="22"/>
        </w:rPr>
        <w:t xml:space="preserve">4.2 Proof Photographs</w:t>
      </w:r>
    </w:p>
    <w:p>
      <w:pPr>
        <w:spacing w:after="100" w:before="60"/>
        <w:jc w:val="both"/>
      </w:pPr>
      <w:r>
        <w:rPr>
          <w:rFonts w:ascii="Calibri" w:cs="Calibri" w:eastAsia="Calibri" w:hAnsi="Calibri"/>
          <w:b w:val="false"/>
          <w:bCs w:val="false"/>
          <w:i w:val="false"/>
          <w:iCs w:val="false"/>
          <w:color w:val="1A1A1A"/>
          <w:sz w:val="20"/>
          <w:szCs w:val="20"/>
        </w:rPr>
        <w:t xml:space="preserve">Proof photographs must accurately represent the work performed. They must not be staged to misrepresent task completion, borrowed from prior tasks, sourced from stock image libraries, or digitally altered. Metadata manipulation to falsify timestamps or geolocation is a serious violation.</w:t>
      </w:r>
    </w:p>
    <w:p>
      <w:pPr>
        <w:pStyle w:val="Heading2"/>
        <w:spacing w:after="80" w:before="280"/>
      </w:pPr>
      <w:r>
        <w:rPr>
          <w:rFonts w:ascii="Calibri" w:cs="Calibri" w:eastAsia="Calibri" w:hAnsi="Calibri"/>
          <w:b/>
          <w:bCs/>
          <w:color w:val="2E75B6"/>
          <w:sz w:val="22"/>
          <w:szCs w:val="22"/>
        </w:rPr>
        <w:t xml:space="preserve">4.3 Reviews and Ratings</w:t>
      </w:r>
    </w:p>
    <w:p>
      <w:pPr>
        <w:spacing w:after="100" w:before="60"/>
        <w:jc w:val="both"/>
      </w:pPr>
      <w:r>
        <w:rPr>
          <w:rFonts w:ascii="Calibri" w:cs="Calibri" w:eastAsia="Calibri" w:hAnsi="Calibri"/>
          <w:b w:val="false"/>
          <w:bCs w:val="false"/>
          <w:i w:val="false"/>
          <w:iCs w:val="false"/>
          <w:color w:val="1A1A1A"/>
          <w:sz w:val="20"/>
          <w:szCs w:val="20"/>
        </w:rPr>
        <w:t xml:space="preserve">Reviews must reflect the reviewer's honest, first-hand experience with the task. Reviews may not be solicited in exchange for financial consideration or favorable treatment, and may not be submitted by parties who did not participate in the relevant task.</w:t>
      </w:r>
    </w:p>
    <w:p>
      <w:pPr>
        <w:pStyle w:val="Heading1"/>
        <w:pBdr>
          <w:bottom w:val="single" w:color="2E75B6" w:sz="6" w:space="4"/>
        </w:pBdr>
        <w:spacing w:after="120" w:before="360"/>
      </w:pPr>
      <w:r>
        <w:rPr>
          <w:rFonts w:ascii="Calibri" w:cs="Calibri" w:eastAsia="Calibri" w:hAnsi="Calibri"/>
          <w:b/>
          <w:bCs/>
          <w:color w:val="1B2A4A"/>
          <w:sz w:val="28"/>
          <w:szCs w:val="28"/>
        </w:rPr>
        <w:t xml:space="preserve">5. TRUST TIER AND REPUTATION INTEGRITY</w:t>
      </w:r>
    </w:p>
    <w:p>
      <w:pPr>
        <w:spacing w:after="100" w:before="60"/>
        <w:jc w:val="both"/>
      </w:pPr>
      <w:r>
        <w:rPr>
          <w:rFonts w:ascii="Calibri" w:cs="Calibri" w:eastAsia="Calibri" w:hAnsi="Calibri"/>
          <w:b w:val="false"/>
          <w:bCs w:val="false"/>
          <w:i w:val="false"/>
          <w:iCs w:val="false"/>
          <w:color w:val="1A1A1A"/>
          <w:sz w:val="20"/>
          <w:szCs w:val="20"/>
        </w:rPr>
        <w:t xml:space="preserve">HustleXP's trust tier and XP systems are foundational to the Platform's value and the safety of its community. Manipulating these systems undermines the marketplace for all participants and is treated as a serious violation.</w:t>
      </w:r>
    </w:p>
    <w:p>
      <w:pPr>
        <w:pStyle w:val="Heading2"/>
        <w:spacing w:after="80" w:before="280"/>
      </w:pPr>
      <w:r>
        <w:rPr>
          <w:rFonts w:ascii="Calibri" w:cs="Calibri" w:eastAsia="Calibri" w:hAnsi="Calibri"/>
          <w:b/>
          <w:bCs/>
          <w:color w:val="2E75B6"/>
          <w:sz w:val="22"/>
          <w:szCs w:val="22"/>
        </w:rPr>
        <w:t xml:space="preserve">5.1 XP System Integrity</w:t>
      </w:r>
    </w:p>
    <w:p>
      <w:pPr>
        <w:spacing w:after="100" w:before="60"/>
        <w:jc w:val="both"/>
      </w:pPr>
      <w:r>
        <w:rPr>
          <w:rFonts w:ascii="Calibri" w:cs="Calibri" w:eastAsia="Calibri" w:hAnsi="Calibri"/>
          <w:b w:val="false"/>
          <w:bCs w:val="false"/>
          <w:i w:val="false"/>
          <w:iCs w:val="false"/>
          <w:color w:val="1A1A1A"/>
          <w:sz w:val="20"/>
          <w:szCs w:val="20"/>
        </w:rPr>
        <w:t xml:space="preserve">Artificially inflating XP scores through any means not expressly authorized by the Platform is prohibited. This includes submitting low-quality or non-genuine work product solely to trigger XP awards, creating circular task arrangements between connected accounts, and any other scheme designed to accelerate tier advancement without corresponding genuine performance.</w:t>
      </w:r>
    </w:p>
    <w:p>
      <w:pPr>
        <w:pStyle w:val="Heading2"/>
        <w:spacing w:after="80" w:before="280"/>
      </w:pPr>
      <w:r>
        <w:rPr>
          <w:rFonts w:ascii="Calibri" w:cs="Calibri" w:eastAsia="Calibri" w:hAnsi="Calibri"/>
          <w:b/>
          <w:bCs/>
          <w:color w:val="2E75B6"/>
          <w:sz w:val="22"/>
          <w:szCs w:val="22"/>
        </w:rPr>
        <w:t xml:space="preserve">5.2 Coordinated Task Fraud</w:t>
      </w:r>
    </w:p>
    <w:p>
      <w:pPr>
        <w:spacing w:after="100" w:before="60"/>
        <w:jc w:val="both"/>
      </w:pPr>
      <w:r>
        <w:rPr>
          <w:rFonts w:ascii="Calibri" w:cs="Calibri" w:eastAsia="Calibri" w:hAnsi="Calibri"/>
          <w:b w:val="false"/>
          <w:bCs w:val="false"/>
          <w:i w:val="false"/>
          <w:iCs w:val="false"/>
          <w:color w:val="1A1A1A"/>
          <w:sz w:val="20"/>
          <w:szCs w:val="20"/>
        </w:rPr>
        <w:t xml:space="preserve">Coordinating with other accounts — whether personally controlled or otherwise — to complete tasks between those accounts for the purpose of generating XP, inflating ratings, or achieving tier thresholds is fraud. Accounts identified as participants in coordinated task fraud are subject to immediate permanent termination.</w:t>
      </w:r>
    </w:p>
    <w:p>
      <w:pPr>
        <w:pStyle w:val="Heading2"/>
        <w:spacing w:after="80" w:before="280"/>
      </w:pPr>
      <w:r>
        <w:rPr>
          <w:rFonts w:ascii="Calibri" w:cs="Calibri" w:eastAsia="Calibri" w:hAnsi="Calibri"/>
          <w:b/>
          <w:bCs/>
          <w:color w:val="2E75B6"/>
          <w:sz w:val="22"/>
          <w:szCs w:val="22"/>
        </w:rPr>
        <w:t xml:space="preserve">5.3 Dispute Abuse</w:t>
      </w:r>
    </w:p>
    <w:p>
      <w:pPr>
        <w:spacing w:after="100" w:before="60"/>
        <w:jc w:val="both"/>
      </w:pPr>
      <w:r>
        <w:rPr>
          <w:rFonts w:ascii="Calibri" w:cs="Calibri" w:eastAsia="Calibri" w:hAnsi="Calibri"/>
          <w:b w:val="false"/>
          <w:bCs w:val="false"/>
          <w:i w:val="false"/>
          <w:iCs w:val="false"/>
          <w:color w:val="1A1A1A"/>
          <w:sz w:val="20"/>
          <w:szCs w:val="20"/>
        </w:rPr>
        <w:t xml:space="preserve">The Platform's dispute resolution system exists to resolve genuine, good-faith disagreements about task performance and payment. Filing disputes without a reasonable basis — including filing disputes primarily to delay payment or to gain negotiating leverage — is a violation of this Policy. Users who abuse the dispute system may have their dispute-filing privileges restricted or revoked.</w:t>
      </w:r>
    </w:p>
    <w:p>
      <w:pPr>
        <w:pStyle w:val="Heading2"/>
        <w:spacing w:after="80" w:before="280"/>
      </w:pPr>
      <w:r>
        <w:rPr>
          <w:rFonts w:ascii="Calibri" w:cs="Calibri" w:eastAsia="Calibri" w:hAnsi="Calibri"/>
          <w:b/>
          <w:bCs/>
          <w:color w:val="2E75B6"/>
          <w:sz w:val="22"/>
          <w:szCs w:val="22"/>
        </w:rPr>
        <w:t xml:space="preserve">5.4 Availability Metric Manipulation</w:t>
      </w:r>
    </w:p>
    <w:p>
      <w:pPr>
        <w:spacing w:after="100" w:before="60"/>
        <w:jc w:val="both"/>
      </w:pPr>
      <w:r>
        <w:rPr>
          <w:rFonts w:ascii="Calibri" w:cs="Calibri" w:eastAsia="Calibri" w:hAnsi="Calibri"/>
          <w:b w:val="false"/>
          <w:bCs w:val="false"/>
          <w:i w:val="false"/>
          <w:iCs w:val="false"/>
          <w:color w:val="1A1A1A"/>
          <w:sz w:val="20"/>
          <w:szCs w:val="20"/>
        </w:rPr>
        <w:t xml:space="preserve">Cancellations, availability status changes, and task acceptance decisions must reflect genuine circumstances. Manipulating these signals to game algorithmic matching, obscure performance data, or affect other users' visibility in search results is prohibited.</w:t>
      </w:r>
    </w:p>
    <w:p>
      <w:pPr>
        <w:pStyle w:val="Heading1"/>
        <w:pBdr>
          <w:bottom w:val="single" w:color="2E75B6" w:sz="6" w:space="4"/>
        </w:pBdr>
        <w:spacing w:after="120" w:before="360"/>
      </w:pPr>
      <w:r>
        <w:rPr>
          <w:rFonts w:ascii="Calibri" w:cs="Calibri" w:eastAsia="Calibri" w:hAnsi="Calibri"/>
          <w:b/>
          <w:bCs/>
          <w:color w:val="1B2A4A"/>
          <w:sz w:val="28"/>
          <w:szCs w:val="28"/>
        </w:rPr>
        <w:t xml:space="preserve">6. PLATFORM SECURITY</w:t>
      </w:r>
    </w:p>
    <w:p>
      <w:pPr>
        <w:spacing w:after="100" w:before="60"/>
        <w:jc w:val="both"/>
      </w:pPr>
      <w:r>
        <w:rPr>
          <w:rFonts w:ascii="Calibri" w:cs="Calibri" w:eastAsia="Calibri" w:hAnsi="Calibri"/>
          <w:b w:val="false"/>
          <w:bCs w:val="false"/>
          <w:i w:val="false"/>
          <w:iCs w:val="false"/>
          <w:color w:val="1A1A1A"/>
          <w:sz w:val="20"/>
          <w:szCs w:val="20"/>
        </w:rPr>
        <w:t xml:space="preserve">All users have an obligation not to compromise the security, availability, or integrity of the Platform or its underlying systems.</w:t>
      </w:r>
    </w:p>
    <w:p>
      <w:pPr>
        <w:pStyle w:val="Heading2"/>
        <w:spacing w:after="80" w:before="280"/>
      </w:pPr>
      <w:r>
        <w:rPr>
          <w:rFonts w:ascii="Calibri" w:cs="Calibri" w:eastAsia="Calibri" w:hAnsi="Calibri"/>
          <w:b/>
          <w:bCs/>
          <w:color w:val="2E75B6"/>
          <w:sz w:val="22"/>
          <w:szCs w:val="22"/>
        </w:rPr>
        <w:t xml:space="preserve">6.1 Vulnerability Probing</w:t>
      </w:r>
    </w:p>
    <w:p>
      <w:pPr>
        <w:spacing w:after="100" w:before="60"/>
        <w:jc w:val="both"/>
      </w:pPr>
      <w:r>
        <w:rPr>
          <w:rFonts w:ascii="Calibri" w:cs="Calibri" w:eastAsia="Calibri" w:hAnsi="Calibri"/>
          <w:b w:val="false"/>
          <w:bCs w:val="false"/>
          <w:i w:val="false"/>
          <w:iCs w:val="false"/>
          <w:color w:val="1A1A1A"/>
          <w:sz w:val="20"/>
          <w:szCs w:val="20"/>
        </w:rPr>
        <w:t xml:space="preserve">Users may not probe, scan, test, or attempt to identify security vulnerabilities in the Platform's systems, infrastructure, or APIs without prior written authorization from HustleXP's security team. Users who believe they have discovered a vulnerability should report it through HustleXP's responsible disclosure program.</w:t>
      </w:r>
    </w:p>
    <w:p>
      <w:pPr>
        <w:pStyle w:val="Heading2"/>
        <w:spacing w:after="80" w:before="280"/>
      </w:pPr>
      <w:r>
        <w:rPr>
          <w:rFonts w:ascii="Calibri" w:cs="Calibri" w:eastAsia="Calibri" w:hAnsi="Calibri"/>
          <w:b/>
          <w:bCs/>
          <w:color w:val="2E75B6"/>
          <w:sz w:val="22"/>
          <w:szCs w:val="22"/>
        </w:rPr>
        <w:t xml:space="preserve">6.2 Authentication and Authorization Bypasses</w:t>
      </w:r>
    </w:p>
    <w:p>
      <w:pPr>
        <w:spacing w:after="100" w:before="60"/>
        <w:jc w:val="both"/>
      </w:pPr>
      <w:r>
        <w:rPr>
          <w:rFonts w:ascii="Calibri" w:cs="Calibri" w:eastAsia="Calibri" w:hAnsi="Calibri"/>
          <w:b w:val="false"/>
          <w:bCs w:val="false"/>
          <w:i w:val="false"/>
          <w:iCs w:val="false"/>
          <w:color w:val="1A1A1A"/>
          <w:sz w:val="20"/>
          <w:szCs w:val="20"/>
        </w:rPr>
        <w:t xml:space="preserve">Attempting to bypass, circumvent, or undermine any authentication mechanism, access control, session management system, or authorization check is strictly prohibited.</w:t>
      </w:r>
    </w:p>
    <w:p>
      <w:pPr>
        <w:pStyle w:val="Heading2"/>
        <w:spacing w:after="80" w:before="280"/>
      </w:pPr>
      <w:r>
        <w:rPr>
          <w:rFonts w:ascii="Calibri" w:cs="Calibri" w:eastAsia="Calibri" w:hAnsi="Calibri"/>
          <w:b/>
          <w:bCs/>
          <w:color w:val="2E75B6"/>
          <w:sz w:val="22"/>
          <w:szCs w:val="22"/>
        </w:rPr>
        <w:t xml:space="preserve">6.3 Malware and Malicious Code</w:t>
      </w:r>
    </w:p>
    <w:p>
      <w:pPr>
        <w:spacing w:after="100" w:before="60"/>
        <w:jc w:val="both"/>
      </w:pPr>
      <w:r>
        <w:rPr>
          <w:rFonts w:ascii="Calibri" w:cs="Calibri" w:eastAsia="Calibri" w:hAnsi="Calibri"/>
          <w:b w:val="false"/>
          <w:bCs w:val="false"/>
          <w:i w:val="false"/>
          <w:iCs w:val="false"/>
          <w:color w:val="1A1A1A"/>
          <w:sz w:val="20"/>
          <w:szCs w:val="20"/>
        </w:rPr>
        <w:t xml:space="preserve">Introducing, distributing, or executing malware, viruses, worms, ransomware, spyware, or any other malicious code through the Platform or in connection with Platform tasks is prohibited.</w:t>
      </w:r>
    </w:p>
    <w:p>
      <w:pPr>
        <w:pStyle w:val="Heading2"/>
        <w:spacing w:after="80" w:before="280"/>
      </w:pPr>
      <w:r>
        <w:rPr>
          <w:rFonts w:ascii="Calibri" w:cs="Calibri" w:eastAsia="Calibri" w:hAnsi="Calibri"/>
          <w:b/>
          <w:bCs/>
          <w:color w:val="2E75B6"/>
          <w:sz w:val="22"/>
          <w:szCs w:val="22"/>
        </w:rPr>
        <w:t xml:space="preserve">6.4 Denial of Service</w:t>
      </w:r>
    </w:p>
    <w:p>
      <w:pPr>
        <w:spacing w:after="100" w:before="60"/>
        <w:jc w:val="both"/>
      </w:pPr>
      <w:r>
        <w:rPr>
          <w:rFonts w:ascii="Calibri" w:cs="Calibri" w:eastAsia="Calibri" w:hAnsi="Calibri"/>
          <w:b w:val="false"/>
          <w:bCs w:val="false"/>
          <w:i w:val="false"/>
          <w:iCs w:val="false"/>
          <w:color w:val="1A1A1A"/>
          <w:sz w:val="20"/>
          <w:szCs w:val="20"/>
        </w:rPr>
        <w:t xml:space="preserve">Conducting or facilitating denial of service (DoS) or distributed denial of service (DDoS) attacks against the Platform or against any other user's systems is prohibited.</w:t>
      </w:r>
    </w:p>
    <w:p>
      <w:pPr>
        <w:pStyle w:val="Heading2"/>
        <w:spacing w:after="80" w:before="280"/>
      </w:pPr>
      <w:r>
        <w:rPr>
          <w:rFonts w:ascii="Calibri" w:cs="Calibri" w:eastAsia="Calibri" w:hAnsi="Calibri"/>
          <w:b/>
          <w:bCs/>
          <w:color w:val="2E75B6"/>
          <w:sz w:val="22"/>
          <w:szCs w:val="22"/>
        </w:rPr>
        <w:t xml:space="preserve">6.5 API Rate Limits</w:t>
      </w:r>
    </w:p>
    <w:p>
      <w:pPr>
        <w:spacing w:after="100" w:before="60"/>
        <w:jc w:val="both"/>
      </w:pPr>
      <w:r>
        <w:rPr>
          <w:rFonts w:ascii="Calibri" w:cs="Calibri" w:eastAsia="Calibri" w:hAnsi="Calibri"/>
          <w:b w:val="false"/>
          <w:bCs w:val="false"/>
          <w:i w:val="false"/>
          <w:iCs w:val="false"/>
          <w:color w:val="1A1A1A"/>
          <w:sz w:val="20"/>
          <w:szCs w:val="20"/>
        </w:rPr>
        <w:t xml:space="preserve">Users accessing Platform APIs — whether under an authorized license or through the standard user experience — must not exceed documented rate limits. Attempts to circumvent rate limiting through IP rotation, credential cycling, or other technical means are prohibited.</w:t>
      </w:r>
    </w:p>
    <w:p>
      <w:pPr>
        <w:pStyle w:val="Heading1"/>
        <w:pBdr>
          <w:bottom w:val="single" w:color="2E75B6" w:sz="6" w:space="4"/>
        </w:pBdr>
        <w:spacing w:after="120" w:before="360"/>
      </w:pPr>
      <w:r>
        <w:rPr>
          <w:rFonts w:ascii="Calibri" w:cs="Calibri" w:eastAsia="Calibri" w:hAnsi="Calibri"/>
          <w:b/>
          <w:bCs/>
          <w:color w:val="1B2A4A"/>
          <w:sz w:val="28"/>
          <w:szCs w:val="28"/>
        </w:rPr>
        <w:t xml:space="preserve">7. FINANCIAL CONDUCT</w:t>
      </w:r>
    </w:p>
    <w:p>
      <w:pPr>
        <w:spacing w:after="100" w:before="60"/>
        <w:jc w:val="both"/>
      </w:pPr>
      <w:r>
        <w:rPr>
          <w:rFonts w:ascii="Calibri" w:cs="Calibri" w:eastAsia="Calibri" w:hAnsi="Calibri"/>
          <w:b w:val="false"/>
          <w:bCs w:val="false"/>
          <w:i w:val="false"/>
          <w:iCs w:val="false"/>
          <w:color w:val="1A1A1A"/>
          <w:sz w:val="20"/>
          <w:szCs w:val="20"/>
        </w:rPr>
        <w:t xml:space="preserve">The financial integrity of the Platform depends on all participants using its payment and escrow systems honestly and in good faith.</w:t>
      </w:r>
    </w:p>
    <w:p>
      <w:pPr>
        <w:pStyle w:val="Heading2"/>
        <w:spacing w:after="80" w:before="280"/>
      </w:pPr>
      <w:r>
        <w:rPr>
          <w:rFonts w:ascii="Calibri" w:cs="Calibri" w:eastAsia="Calibri" w:hAnsi="Calibri"/>
          <w:b/>
          <w:bCs/>
          <w:color w:val="2E75B6"/>
          <w:sz w:val="22"/>
          <w:szCs w:val="22"/>
        </w:rPr>
        <w:t xml:space="preserve">7.1 Chargeback Abuse</w:t>
      </w:r>
    </w:p>
    <w:p>
      <w:pPr>
        <w:spacing w:after="100" w:before="60"/>
        <w:jc w:val="both"/>
      </w:pPr>
      <w:r>
        <w:rPr>
          <w:rFonts w:ascii="Calibri" w:cs="Calibri" w:eastAsia="Calibri" w:hAnsi="Calibri"/>
          <w:b w:val="false"/>
          <w:bCs w:val="false"/>
          <w:i w:val="false"/>
          <w:iCs w:val="false"/>
          <w:color w:val="1A1A1A"/>
          <w:sz w:val="20"/>
          <w:szCs w:val="20"/>
        </w:rPr>
        <w:t xml:space="preserve">Initiating a chargeback, dispute, or reversal with a payment provider for a transaction that was legitimate and for which services were received constitutes chargeback abuse. Users who engage in chargeback abuse face immediate account termination, referral to collections agencies, and, where the amounts involved warrant it, referral to law enforcement. HustleXP will contest all chargebacks that it determines to be fraudulent.</w:t>
      </w:r>
    </w:p>
    <w:p>
      <w:pPr>
        <w:pStyle w:val="Heading2"/>
        <w:spacing w:after="80" w:before="280"/>
      </w:pPr>
      <w:r>
        <w:rPr>
          <w:rFonts w:ascii="Calibri" w:cs="Calibri" w:eastAsia="Calibri" w:hAnsi="Calibri"/>
          <w:b/>
          <w:bCs/>
          <w:color w:val="2E75B6"/>
          <w:sz w:val="22"/>
          <w:szCs w:val="22"/>
        </w:rPr>
        <w:t xml:space="preserve">7.2 Escrow Manipulation</w:t>
      </w:r>
    </w:p>
    <w:p>
      <w:pPr>
        <w:spacing w:after="100" w:before="60"/>
        <w:jc w:val="both"/>
      </w:pPr>
      <w:r>
        <w:rPr>
          <w:rFonts w:ascii="Calibri" w:cs="Calibri" w:eastAsia="Calibri" w:hAnsi="Calibri"/>
          <w:b w:val="false"/>
          <w:bCs w:val="false"/>
          <w:i w:val="false"/>
          <w:iCs w:val="false"/>
          <w:color w:val="1A1A1A"/>
          <w:sz w:val="20"/>
          <w:szCs w:val="20"/>
        </w:rPr>
        <w:t xml:space="preserve">Funding escrow with the intent to file a fraudulent dispute immediately thereafter — whether to hold funds, avoid payment, or extract concessions — is escrow fraud. This conduct is subject to the maximum enforcement measures available to the Platform and may be referred to relevant law enforcement authorities.</w:t>
      </w:r>
    </w:p>
    <w:p>
      <w:pPr>
        <w:pStyle w:val="Heading2"/>
        <w:spacing w:after="80" w:before="280"/>
      </w:pPr>
      <w:r>
        <w:rPr>
          <w:rFonts w:ascii="Calibri" w:cs="Calibri" w:eastAsia="Calibri" w:hAnsi="Calibri"/>
          <w:b/>
          <w:bCs/>
          <w:color w:val="2E75B6"/>
          <w:sz w:val="22"/>
          <w:szCs w:val="22"/>
        </w:rPr>
        <w:t xml:space="preserve">7.3 Off-Platform Tip Solicitation</w:t>
      </w:r>
    </w:p>
    <w:p>
      <w:pPr>
        <w:spacing w:after="100" w:before="60"/>
        <w:jc w:val="both"/>
      </w:pPr>
      <w:r>
        <w:rPr>
          <w:rFonts w:ascii="Calibri" w:cs="Calibri" w:eastAsia="Calibri" w:hAnsi="Calibri"/>
          <w:b w:val="false"/>
          <w:bCs w:val="false"/>
          <w:i w:val="false"/>
          <w:iCs w:val="false"/>
          <w:color w:val="1A1A1A"/>
          <w:sz w:val="20"/>
          <w:szCs w:val="20"/>
        </w:rPr>
        <w:t xml:space="preserve">Hustlers may not request or require that tips, bonuses, or supplemental compensation be paid through any channel outside the Platform. All financial transactions between Posters and Hustlers in connection with Platform tasks must be processed through the Platform's payment infrastructure.</w:t>
      </w:r>
    </w:p>
    <w:p>
      <w:pPr>
        <w:pStyle w:val="Heading2"/>
        <w:spacing w:after="80" w:before="280"/>
      </w:pPr>
      <w:r>
        <w:rPr>
          <w:rFonts w:ascii="Calibri" w:cs="Calibri" w:eastAsia="Calibri" w:hAnsi="Calibri"/>
          <w:b/>
          <w:bCs/>
          <w:color w:val="2E75B6"/>
          <w:sz w:val="22"/>
          <w:szCs w:val="22"/>
        </w:rPr>
        <w:t xml:space="preserve">7.4 Price Fixing and Collusion</w:t>
      </w:r>
    </w:p>
    <w:p>
      <w:pPr>
        <w:spacing w:after="100" w:before="60"/>
        <w:jc w:val="both"/>
      </w:pPr>
      <w:r>
        <w:rPr>
          <w:rFonts w:ascii="Calibri" w:cs="Calibri" w:eastAsia="Calibri" w:hAnsi="Calibri"/>
          <w:b w:val="false"/>
          <w:bCs w:val="false"/>
          <w:i w:val="false"/>
          <w:iCs w:val="false"/>
          <w:color w:val="1A1A1A"/>
          <w:sz w:val="20"/>
          <w:szCs w:val="20"/>
        </w:rPr>
        <w:t xml:space="preserve">Coordination between Posters to fix, stabilize, or manipulate task pricing constitutes a potential violation of antitrust law and is prohibited by this Policy. Users who have reason to believe that price-fixing coordination is occurring should report it to HustleXP immediately.</w:t>
      </w:r>
    </w:p>
    <w:p>
      <w:pPr>
        <w:pStyle w:val="Heading1"/>
        <w:pBdr>
          <w:bottom w:val="single" w:color="2E75B6" w:sz="6" w:space="4"/>
        </w:pBdr>
        <w:spacing w:after="120" w:before="360"/>
      </w:pPr>
      <w:r>
        <w:rPr>
          <w:rFonts w:ascii="Calibri" w:cs="Calibri" w:eastAsia="Calibri" w:hAnsi="Calibri"/>
          <w:b/>
          <w:bCs/>
          <w:color w:val="1B2A4A"/>
          <w:sz w:val="28"/>
          <w:szCs w:val="28"/>
        </w:rPr>
        <w:t xml:space="preserve">8. ENFORCEMENT</w:t>
      </w:r>
    </w:p>
    <w:p>
      <w:pPr>
        <w:pStyle w:val="Heading2"/>
        <w:spacing w:after="80" w:before="280"/>
      </w:pPr>
      <w:r>
        <w:rPr>
          <w:rFonts w:ascii="Calibri" w:cs="Calibri" w:eastAsia="Calibri" w:hAnsi="Calibri"/>
          <w:b/>
          <w:bCs/>
          <w:color w:val="2E75B6"/>
          <w:sz w:val="22"/>
          <w:szCs w:val="22"/>
        </w:rPr>
        <w:t xml:space="preserve">8.1 Platform Discretion</w:t>
      </w:r>
    </w:p>
    <w:p>
      <w:pPr>
        <w:spacing w:after="100" w:before="60"/>
        <w:jc w:val="both"/>
      </w:pPr>
      <w:r>
        <w:rPr>
          <w:rFonts w:ascii="Calibri" w:cs="Calibri" w:eastAsia="Calibri" w:hAnsi="Calibri"/>
          <w:b w:val="false"/>
          <w:bCs w:val="false"/>
          <w:i w:val="false"/>
          <w:iCs w:val="false"/>
          <w:color w:val="1A1A1A"/>
          <w:sz w:val="20"/>
          <w:szCs w:val="20"/>
        </w:rPr>
        <w:t xml:space="preserve">HustleXP reserves the sole and absolute discretion to investigate, make determinations regarding, and enforce this Policy. The Platform is not obligated to provide advance notice of investigations, and its determinations are final subject only to the appeals process described herein.</w:t>
      </w:r>
    </w:p>
    <w:p>
      <w:pPr>
        <w:pStyle w:val="Heading2"/>
        <w:spacing w:after="80" w:before="280"/>
      </w:pPr>
      <w:r>
        <w:rPr>
          <w:rFonts w:ascii="Calibri" w:cs="Calibri" w:eastAsia="Calibri" w:hAnsi="Calibri"/>
          <w:b/>
          <w:bCs/>
          <w:color w:val="2E75B6"/>
          <w:sz w:val="22"/>
          <w:szCs w:val="22"/>
        </w:rPr>
        <w:t xml:space="preserve">8.2 Escalating Enforcement Actions</w:t>
      </w:r>
    </w:p>
    <w:p>
      <w:pPr>
        <w:spacing w:after="100" w:before="60"/>
        <w:jc w:val="both"/>
      </w:pPr>
      <w:r>
        <w:rPr>
          <w:rFonts w:ascii="Calibri" w:cs="Calibri" w:eastAsia="Calibri" w:hAnsi="Calibri"/>
          <w:b w:val="false"/>
          <w:bCs w:val="false"/>
          <w:i w:val="false"/>
          <w:iCs w:val="false"/>
          <w:color w:val="1A1A1A"/>
          <w:sz w:val="20"/>
          <w:szCs w:val="20"/>
        </w:rPr>
        <w:t xml:space="preserve">The Platform's standard enforcement framework is structured as follows, though HustleXP reserves the right to skip steps based on the severity of the violation:</w:t>
      </w:r>
    </w:p>
    <w:p>
      <w:pPr>
        <w:pStyle w:val="ListParagraph"/>
        <w:numPr>
          <w:ilvl w:val="0"/>
          <w:numId w:val="3"/>
        </w:numPr>
        <w:spacing w:after="60" w:before="40"/>
      </w:pPr>
      <w:r>
        <w:rPr>
          <w:rFonts w:ascii="Calibri" w:cs="Calibri" w:eastAsia="Calibri" w:hAnsi="Calibri"/>
          <w:b/>
          <w:bCs/>
          <w:color w:val="1A1A1A"/>
          <w:sz w:val="20"/>
          <w:szCs w:val="20"/>
        </w:rPr>
        <w:t xml:space="preserve">Formal Warning —</w:t>
      </w:r>
      <w:r>
        <w:rPr>
          <w:rFonts w:ascii="Calibri" w:cs="Calibri" w:eastAsia="Calibri" w:hAnsi="Calibri"/>
          <w:color w:val="1A1A1A"/>
          <w:sz w:val="20"/>
          <w:szCs w:val="20"/>
        </w:rPr>
        <w:t xml:space="preserve"> Written notice of the violation, with a description of the prohibited conduct and the consequences of future violations.</w:t>
      </w:r>
    </w:p>
    <w:p>
      <w:pPr>
        <w:pStyle w:val="ListParagraph"/>
        <w:numPr>
          <w:ilvl w:val="0"/>
          <w:numId w:val="3"/>
        </w:numPr>
        <w:spacing w:after="60" w:before="40"/>
      </w:pPr>
      <w:r>
        <w:rPr>
          <w:rFonts w:ascii="Calibri" w:cs="Calibri" w:eastAsia="Calibri" w:hAnsi="Calibri"/>
          <w:b/>
          <w:bCs/>
          <w:color w:val="1A1A1A"/>
          <w:sz w:val="20"/>
          <w:szCs w:val="20"/>
        </w:rPr>
        <w:t xml:space="preserve">Feature Restriction —</w:t>
      </w:r>
      <w:r>
        <w:rPr>
          <w:rFonts w:ascii="Calibri" w:cs="Calibri" w:eastAsia="Calibri" w:hAnsi="Calibri"/>
          <w:color w:val="1A1A1A"/>
          <w:sz w:val="20"/>
          <w:szCs w:val="20"/>
        </w:rPr>
        <w:t xml:space="preserve"> Temporary or indefinite restriction of specific Platform features, such as the ability to post tasks, accept tasks, use messaging, or access dispute resolution.</w:t>
      </w:r>
    </w:p>
    <w:p>
      <w:pPr>
        <w:pStyle w:val="ListParagraph"/>
        <w:numPr>
          <w:ilvl w:val="0"/>
          <w:numId w:val="3"/>
        </w:numPr>
        <w:spacing w:after="60" w:before="40"/>
      </w:pPr>
      <w:r>
        <w:rPr>
          <w:rFonts w:ascii="Calibri" w:cs="Calibri" w:eastAsia="Calibri" w:hAnsi="Calibri"/>
          <w:b/>
          <w:bCs/>
          <w:color w:val="1A1A1A"/>
          <w:sz w:val="20"/>
          <w:szCs w:val="20"/>
        </w:rPr>
        <w:t xml:space="preserve">Account Suspension —</w:t>
      </w:r>
      <w:r>
        <w:rPr>
          <w:rFonts w:ascii="Calibri" w:cs="Calibri" w:eastAsia="Calibri" w:hAnsi="Calibri"/>
          <w:color w:val="1A1A1A"/>
          <w:sz w:val="20"/>
          <w:szCs w:val="20"/>
        </w:rPr>
        <w:t xml:space="preserve"> Temporary suspension of all Platform access for a defined period.</w:t>
      </w:r>
    </w:p>
    <w:p>
      <w:pPr>
        <w:pStyle w:val="ListParagraph"/>
        <w:numPr>
          <w:ilvl w:val="0"/>
          <w:numId w:val="3"/>
        </w:numPr>
        <w:spacing w:after="60" w:before="40"/>
      </w:pPr>
      <w:r>
        <w:rPr>
          <w:rFonts w:ascii="Calibri" w:cs="Calibri" w:eastAsia="Calibri" w:hAnsi="Calibri"/>
          <w:b/>
          <w:bCs/>
          <w:color w:val="1A1A1A"/>
          <w:sz w:val="20"/>
          <w:szCs w:val="20"/>
        </w:rPr>
        <w:t xml:space="preserve">Permanent Ban —</w:t>
      </w:r>
      <w:r>
        <w:rPr>
          <w:rFonts w:ascii="Calibri" w:cs="Calibri" w:eastAsia="Calibri" w:hAnsi="Calibri"/>
          <w:color w:val="1A1A1A"/>
          <w:sz w:val="20"/>
          <w:szCs w:val="20"/>
        </w:rPr>
        <w:t xml:space="preserve"> Permanent termination of the user's account and all associated accounts. A permanently banned user may not re-register on the Platform.</w:t>
      </w:r>
    </w:p>
    <w:p>
      <w:pPr>
        <w:pStyle w:val="ListParagraph"/>
        <w:numPr>
          <w:ilvl w:val="0"/>
          <w:numId w:val="3"/>
        </w:numPr>
        <w:spacing w:after="60" w:before="40"/>
      </w:pPr>
      <w:r>
        <w:rPr>
          <w:rFonts w:ascii="Calibri" w:cs="Calibri" w:eastAsia="Calibri" w:hAnsi="Calibri"/>
          <w:b/>
          <w:bCs/>
          <w:color w:val="1A1A1A"/>
          <w:sz w:val="20"/>
          <w:szCs w:val="20"/>
        </w:rPr>
        <w:t xml:space="preserve">Legal Action —</w:t>
      </w:r>
      <w:r>
        <w:rPr>
          <w:rFonts w:ascii="Calibri" w:cs="Calibri" w:eastAsia="Calibri" w:hAnsi="Calibri"/>
          <w:color w:val="1A1A1A"/>
          <w:sz w:val="20"/>
          <w:szCs w:val="20"/>
        </w:rPr>
        <w:t xml:space="preserve"> Civil litigation, referral to law enforcement, and/or reporting to relevant regulatory or licensing authorities.</w:t>
      </w:r>
    </w:p>
    <w:p>
      <w:pPr>
        <w:pStyle w:val="Heading2"/>
        <w:spacing w:after="80" w:before="280"/>
      </w:pPr>
      <w:r>
        <w:rPr>
          <w:rFonts w:ascii="Calibri" w:cs="Calibri" w:eastAsia="Calibri" w:hAnsi="Calibri"/>
          <w:b/>
          <w:bCs/>
          <w:color w:val="2E75B6"/>
          <w:sz w:val="22"/>
          <w:szCs w:val="22"/>
        </w:rPr>
        <w:t xml:space="preserve">8.3 Scope of Permanent Bans</w:t>
      </w:r>
    </w:p>
    <w:p>
      <w:pPr>
        <w:spacing w:after="100" w:before="60"/>
        <w:jc w:val="both"/>
      </w:pPr>
      <w:r>
        <w:rPr>
          <w:rFonts w:ascii="Calibri" w:cs="Calibri" w:eastAsia="Calibri" w:hAnsi="Calibri"/>
          <w:b w:val="false"/>
          <w:bCs w:val="false"/>
          <w:i w:val="false"/>
          <w:iCs w:val="false"/>
          <w:color w:val="1A1A1A"/>
          <w:sz w:val="20"/>
          <w:szCs w:val="20"/>
        </w:rPr>
        <w:t xml:space="preserve">A permanent ban may extend to all accounts associated with the banned user, including accounts sharing the same device identifiers, email addresses, payment methods, phone numbers, or IP addresses. HustleXP may take reasonable technical measures to prevent banned users from re-registering.</w:t>
      </w:r>
    </w:p>
    <w:p>
      <w:pPr>
        <w:pStyle w:val="Heading2"/>
        <w:spacing w:after="80" w:before="280"/>
      </w:pPr>
      <w:r>
        <w:rPr>
          <w:rFonts w:ascii="Calibri" w:cs="Calibri" w:eastAsia="Calibri" w:hAnsi="Calibri"/>
          <w:b/>
          <w:bCs/>
          <w:color w:val="2E75B6"/>
          <w:sz w:val="22"/>
          <w:szCs w:val="22"/>
        </w:rPr>
        <w:t xml:space="preserve">8.4 Financial Violations</w:t>
      </w:r>
    </w:p>
    <w:p>
      <w:pPr>
        <w:spacing w:after="100" w:before="60"/>
        <w:jc w:val="both"/>
      </w:pPr>
      <w:r>
        <w:rPr>
          <w:rFonts w:ascii="Calibri" w:cs="Calibri" w:eastAsia="Calibri" w:hAnsi="Calibri"/>
          <w:b w:val="false"/>
          <w:bCs w:val="false"/>
          <w:i w:val="false"/>
          <w:iCs w:val="false"/>
          <w:color w:val="1A1A1A"/>
          <w:sz w:val="20"/>
          <w:szCs w:val="20"/>
        </w:rPr>
        <w:t xml:space="preserve">Users who engage in fraudulent financial conduct, including chargeback abuse, escrow manipulation, and tip solicitation outside the Platform, will be referred to collections agencies for recovery of amounts owed and, where appropriate, to law enforcement for investigation of potential fraud, wire fraud, or other criminal violations.</w:t>
      </w:r>
    </w:p>
    <w:p>
      <w:pPr>
        <w:pStyle w:val="Heading2"/>
        <w:spacing w:after="80" w:before="280"/>
      </w:pPr>
      <w:r>
        <w:rPr>
          <w:rFonts w:ascii="Calibri" w:cs="Calibri" w:eastAsia="Calibri" w:hAnsi="Calibri"/>
          <w:b/>
          <w:bCs/>
          <w:color w:val="2E75B6"/>
          <w:sz w:val="22"/>
          <w:szCs w:val="22"/>
        </w:rPr>
        <w:t xml:space="preserve">8.5 Licensing Authority Referrals</w:t>
      </w:r>
    </w:p>
    <w:p>
      <w:pPr>
        <w:spacing w:after="100" w:before="60"/>
        <w:jc w:val="both"/>
      </w:pPr>
      <w:r>
        <w:rPr>
          <w:rFonts w:ascii="Calibri" w:cs="Calibri" w:eastAsia="Calibri" w:hAnsi="Calibri"/>
          <w:b w:val="false"/>
          <w:bCs w:val="false"/>
          <w:i w:val="false"/>
          <w:iCs w:val="false"/>
          <w:color w:val="1A1A1A"/>
          <w:sz w:val="20"/>
          <w:szCs w:val="20"/>
        </w:rPr>
        <w:t xml:space="preserve">Where a user's conduct suggests violations of professional licensing requirements — including unlicensed practice of a trade or profession — HustleXP may report the conduct to the relevant licensing or regulatory authority in the applicable jurisdiction.</w:t>
      </w:r>
    </w:p>
    <w:p>
      <w:pPr>
        <w:pStyle w:val="Heading2"/>
        <w:spacing w:after="80" w:before="280"/>
      </w:pPr>
      <w:r>
        <w:rPr>
          <w:rFonts w:ascii="Calibri" w:cs="Calibri" w:eastAsia="Calibri" w:hAnsi="Calibri"/>
          <w:b/>
          <w:bCs/>
          <w:color w:val="2E75B6"/>
          <w:sz w:val="22"/>
          <w:szCs w:val="22"/>
        </w:rPr>
        <w:t xml:space="preserve">8.6 Appeals</w:t>
      </w:r>
    </w:p>
    <w:p>
      <w:pPr>
        <w:spacing w:after="100" w:before="60"/>
        <w:jc w:val="both"/>
      </w:pPr>
      <w:r>
        <w:rPr>
          <w:rFonts w:ascii="Calibri" w:cs="Calibri" w:eastAsia="Calibri" w:hAnsi="Calibri"/>
          <w:b w:val="false"/>
          <w:bCs w:val="false"/>
          <w:i w:val="false"/>
          <w:iCs w:val="false"/>
          <w:color w:val="1A1A1A"/>
          <w:sz w:val="20"/>
          <w:szCs w:val="20"/>
        </w:rPr>
        <w:t xml:space="preserve">Users who believe an enforcement action was taken in error may submit a written appeal within fourteen (14) days of receiving notice of the action. Appeals must be submitted through the Platform's support channel and must include a detailed statement of the factual basis for the appeal. HustleXP will review appeals in good faith but retains final authority over all enforcement decisions. Appeals do not stay enforcement actions during the review period.</w:t>
      </w:r>
    </w:p>
    <w:p>
      <w:pPr>
        <w:pStyle w:val="Heading1"/>
        <w:pBdr>
          <w:bottom w:val="single" w:color="2E75B6" w:sz="6" w:space="4"/>
        </w:pBdr>
        <w:spacing w:after="120" w:before="360"/>
      </w:pPr>
      <w:r>
        <w:rPr>
          <w:rFonts w:ascii="Calibri" w:cs="Calibri" w:eastAsia="Calibri" w:hAnsi="Calibri"/>
          <w:b/>
          <w:bCs/>
          <w:color w:val="1B2A4A"/>
          <w:sz w:val="28"/>
          <w:szCs w:val="28"/>
        </w:rPr>
        <w:t xml:space="preserve">9. REPORTING VIOLATIONS</w:t>
      </w:r>
    </w:p>
    <w:p>
      <w:pPr>
        <w:pStyle w:val="Heading2"/>
        <w:spacing w:after="80" w:before="280"/>
      </w:pPr>
      <w:r>
        <w:rPr>
          <w:rFonts w:ascii="Calibri" w:cs="Calibri" w:eastAsia="Calibri" w:hAnsi="Calibri"/>
          <w:b/>
          <w:bCs/>
          <w:color w:val="2E75B6"/>
          <w:sz w:val="22"/>
          <w:szCs w:val="22"/>
        </w:rPr>
        <w:t xml:space="preserve">9.1 In-App Reporting</w:t>
      </w:r>
    </w:p>
    <w:p>
      <w:pPr>
        <w:spacing w:after="100" w:before="60"/>
        <w:jc w:val="both"/>
      </w:pPr>
      <w:r>
        <w:rPr>
          <w:rFonts w:ascii="Calibri" w:cs="Calibri" w:eastAsia="Calibri" w:hAnsi="Calibri"/>
          <w:b w:val="false"/>
          <w:bCs w:val="false"/>
          <w:i w:val="false"/>
          <w:iCs w:val="false"/>
          <w:color w:val="1A1A1A"/>
          <w:sz w:val="20"/>
          <w:szCs w:val="20"/>
        </w:rPr>
        <w:t xml:space="preserve">HustleXP encourages all users to report suspected violations of this AUP through the Platform's in-app reporting function. Reports can be submitted on task listings, user profiles, messages, reviews, and proof submissions.</w:t>
      </w:r>
    </w:p>
    <w:p>
      <w:pPr>
        <w:pStyle w:val="Heading2"/>
        <w:spacing w:after="80" w:before="280"/>
      </w:pPr>
      <w:r>
        <w:rPr>
          <w:rFonts w:ascii="Calibri" w:cs="Calibri" w:eastAsia="Calibri" w:hAnsi="Calibri"/>
          <w:b/>
          <w:bCs/>
          <w:color w:val="2E75B6"/>
          <w:sz w:val="22"/>
          <w:szCs w:val="22"/>
        </w:rPr>
        <w:t xml:space="preserve">9.2 Anonymous Reporting</w:t>
      </w:r>
    </w:p>
    <w:p>
      <w:pPr>
        <w:spacing w:after="100" w:before="60"/>
        <w:jc w:val="both"/>
      </w:pPr>
      <w:r>
        <w:rPr>
          <w:rFonts w:ascii="Calibri" w:cs="Calibri" w:eastAsia="Calibri" w:hAnsi="Calibri"/>
          <w:b w:val="false"/>
          <w:bCs w:val="false"/>
          <w:i w:val="false"/>
          <w:iCs w:val="false"/>
          <w:color w:val="1A1A1A"/>
          <w:sz w:val="20"/>
          <w:szCs w:val="20"/>
        </w:rPr>
        <w:t xml:space="preserve">Anonymous reports are accepted. HustleXP will not share the identity of reporting users with the subject of a report without the reporting user's consent, except as required by law.</w:t>
      </w:r>
    </w:p>
    <w:p>
      <w:pPr>
        <w:pStyle w:val="Heading2"/>
        <w:spacing w:after="80" w:before="280"/>
      </w:pPr>
      <w:r>
        <w:rPr>
          <w:rFonts w:ascii="Calibri" w:cs="Calibri" w:eastAsia="Calibri" w:hAnsi="Calibri"/>
          <w:b/>
          <w:bCs/>
          <w:color w:val="2E75B6"/>
          <w:sz w:val="22"/>
          <w:szCs w:val="22"/>
        </w:rPr>
        <w:t xml:space="preserve">9.3 Good-Faith Reporting Required</w:t>
      </w:r>
    </w:p>
    <w:p>
      <w:pPr>
        <w:spacing w:after="100" w:before="60"/>
        <w:jc w:val="both"/>
      </w:pPr>
      <w:r>
        <w:rPr>
          <w:rFonts w:ascii="Calibri" w:cs="Calibri" w:eastAsia="Calibri" w:hAnsi="Calibri"/>
          <w:b w:val="false"/>
          <w:bCs w:val="false"/>
          <w:i w:val="false"/>
          <w:iCs w:val="false"/>
          <w:color w:val="1A1A1A"/>
          <w:sz w:val="20"/>
          <w:szCs w:val="20"/>
        </w:rPr>
        <w:t xml:space="preserve">The reporting mechanism exists to protect the community. Submitting reports that you know to be false, submitting reports as a retaliatory measure, or coordinating with others to generate false reports against a specific user constitutes a violation of this Policy and will be treated as such.</w:t>
      </w:r>
    </w:p>
    <w:p>
      <w:pPr>
        <w:pStyle w:val="Heading2"/>
        <w:spacing w:after="80" w:before="280"/>
      </w:pPr>
      <w:r>
        <w:rPr>
          <w:rFonts w:ascii="Calibri" w:cs="Calibri" w:eastAsia="Calibri" w:hAnsi="Calibri"/>
          <w:b/>
          <w:bCs/>
          <w:color w:val="2E75B6"/>
          <w:sz w:val="22"/>
          <w:szCs w:val="22"/>
        </w:rPr>
        <w:t xml:space="preserve">9.4 No Liability for Good-Faith Reports</w:t>
      </w:r>
    </w:p>
    <w:p>
      <w:pPr>
        <w:spacing w:after="100" w:before="60"/>
        <w:jc w:val="both"/>
      </w:pPr>
      <w:r>
        <w:rPr>
          <w:rFonts w:ascii="Calibri" w:cs="Calibri" w:eastAsia="Calibri" w:hAnsi="Calibri"/>
          <w:b w:val="false"/>
          <w:bCs w:val="false"/>
          <w:i w:val="false"/>
          <w:iCs w:val="false"/>
          <w:color w:val="1A1A1A"/>
          <w:sz w:val="20"/>
          <w:szCs w:val="20"/>
        </w:rPr>
        <w:t xml:space="preserve">Users who submit reports in good faith will not be subject to retaliation by HustleXP. Users who believe they have been retaliated against for submitting a report should contact HustleXP support immediately.</w:t>
      </w:r>
    </w:p>
    <w:p>
      <w:pPr>
        <w:pStyle w:val="Heading1"/>
        <w:pBdr>
          <w:bottom w:val="single" w:color="2E75B6" w:sz="6" w:space="4"/>
        </w:pBdr>
        <w:spacing w:after="120" w:before="360"/>
      </w:pPr>
      <w:r>
        <w:rPr>
          <w:rFonts w:ascii="Calibri" w:cs="Calibri" w:eastAsia="Calibri" w:hAnsi="Calibri"/>
          <w:b/>
          <w:bCs/>
          <w:color w:val="1B2A4A"/>
          <w:sz w:val="28"/>
          <w:szCs w:val="28"/>
        </w:rPr>
        <w:t xml:space="preserve">10. UPDATES TO THIS POLICY</w:t>
      </w:r>
    </w:p>
    <w:p>
      <w:pPr>
        <w:pStyle w:val="Heading2"/>
        <w:spacing w:after="80" w:before="280"/>
      </w:pPr>
      <w:r>
        <w:rPr>
          <w:rFonts w:ascii="Calibri" w:cs="Calibri" w:eastAsia="Calibri" w:hAnsi="Calibri"/>
          <w:b/>
          <w:bCs/>
          <w:color w:val="2E75B6"/>
          <w:sz w:val="22"/>
          <w:szCs w:val="22"/>
        </w:rPr>
        <w:t xml:space="preserve">10.1 Right to Amend</w:t>
      </w:r>
    </w:p>
    <w:p>
      <w:pPr>
        <w:spacing w:after="100" w:before="60"/>
        <w:jc w:val="both"/>
      </w:pPr>
      <w:r>
        <w:rPr>
          <w:rFonts w:ascii="Calibri" w:cs="Calibri" w:eastAsia="Calibri" w:hAnsi="Calibri"/>
          <w:b w:val="false"/>
          <w:bCs w:val="false"/>
          <w:i w:val="false"/>
          <w:iCs w:val="false"/>
          <w:color w:val="1A1A1A"/>
          <w:sz w:val="20"/>
          <w:szCs w:val="20"/>
        </w:rPr>
        <w:t xml:space="preserve">HustleXP reserves the right to modify, update, or replace this AUP at any time. The Platform will provide no less than thirty (30) days' advance notice of material changes, except where a shorter notice period is required to address an urgent security or legal concern.</w:t>
      </w:r>
    </w:p>
    <w:p>
      <w:pPr>
        <w:pStyle w:val="Heading2"/>
        <w:spacing w:after="80" w:before="280"/>
      </w:pPr>
      <w:r>
        <w:rPr>
          <w:rFonts w:ascii="Calibri" w:cs="Calibri" w:eastAsia="Calibri" w:hAnsi="Calibri"/>
          <w:b/>
          <w:bCs/>
          <w:color w:val="2E75B6"/>
          <w:sz w:val="22"/>
          <w:szCs w:val="22"/>
        </w:rPr>
        <w:t xml:space="preserve">10.2 Notice of Changes</w:t>
      </w:r>
    </w:p>
    <w:p>
      <w:pPr>
        <w:spacing w:after="100" w:before="60"/>
        <w:jc w:val="both"/>
      </w:pPr>
      <w:r>
        <w:rPr>
          <w:rFonts w:ascii="Calibri" w:cs="Calibri" w:eastAsia="Calibri" w:hAnsi="Calibri"/>
          <w:b w:val="false"/>
          <w:bCs w:val="false"/>
          <w:i w:val="false"/>
          <w:iCs w:val="false"/>
          <w:color w:val="1A1A1A"/>
          <w:sz w:val="20"/>
          <w:szCs w:val="20"/>
        </w:rPr>
        <w:t xml:space="preserve">Material changes will be communicated to registered users via:</w:t>
      </w:r>
    </w:p>
    <w:p>
      <w:pPr>
        <w:pStyle w:val="ListParagraph"/>
        <w:numPr>
          <w:ilvl w:val="0"/>
          <w:numId w:val="2"/>
        </w:numPr>
        <w:spacing w:after="60" w:before="40"/>
      </w:pPr>
      <w:r>
        <w:rPr>
          <w:rFonts w:ascii="Calibri" w:cs="Calibri" w:eastAsia="Calibri" w:hAnsi="Calibri"/>
          <w:color w:val="1A1A1A"/>
          <w:sz w:val="20"/>
          <w:szCs w:val="20"/>
        </w:rPr>
        <w:t xml:space="preserve">In-app notification within the Platform</w:t>
      </w:r>
    </w:p>
    <w:p>
      <w:pPr>
        <w:pStyle w:val="ListParagraph"/>
        <w:numPr>
          <w:ilvl w:val="0"/>
          <w:numId w:val="2"/>
        </w:numPr>
        <w:spacing w:after="60" w:before="40"/>
      </w:pPr>
      <w:r>
        <w:rPr>
          <w:rFonts w:ascii="Calibri" w:cs="Calibri" w:eastAsia="Calibri" w:hAnsi="Calibri"/>
          <w:color w:val="1A1A1A"/>
          <w:sz w:val="20"/>
          <w:szCs w:val="20"/>
        </w:rPr>
        <w:t xml:space="preserve">Email to the address associated with the user's account</w:t>
      </w:r>
    </w:p>
    <w:p>
      <w:pPr>
        <w:pStyle w:val="ListParagraph"/>
        <w:numPr>
          <w:ilvl w:val="0"/>
          <w:numId w:val="2"/>
        </w:numPr>
        <w:spacing w:after="60" w:before="40"/>
      </w:pPr>
      <w:r>
        <w:rPr>
          <w:rFonts w:ascii="Calibri" w:cs="Calibri" w:eastAsia="Calibri" w:hAnsi="Calibri"/>
          <w:color w:val="1A1A1A"/>
          <w:sz w:val="20"/>
          <w:szCs w:val="20"/>
        </w:rPr>
        <w:t xml:space="preserve">Posting of the updated Policy to the Platform's website and help center, with a revised effective date</w:t>
      </w:r>
    </w:p>
    <w:p>
      <w:pPr>
        <w:pStyle w:val="Heading2"/>
        <w:spacing w:after="80" w:before="280"/>
      </w:pPr>
      <w:r>
        <w:rPr>
          <w:rFonts w:ascii="Calibri" w:cs="Calibri" w:eastAsia="Calibri" w:hAnsi="Calibri"/>
          <w:b/>
          <w:bCs/>
          <w:color w:val="2E75B6"/>
          <w:sz w:val="22"/>
          <w:szCs w:val="22"/>
        </w:rPr>
        <w:t xml:space="preserve">10.3 Acceptance of Changes</w:t>
      </w:r>
    </w:p>
    <w:p>
      <w:pPr>
        <w:spacing w:after="100" w:before="60"/>
        <w:jc w:val="both"/>
      </w:pPr>
      <w:r>
        <w:rPr>
          <w:rFonts w:ascii="Calibri" w:cs="Calibri" w:eastAsia="Calibri" w:hAnsi="Calibri"/>
          <w:b w:val="false"/>
          <w:bCs w:val="false"/>
          <w:i w:val="false"/>
          <w:iCs w:val="false"/>
          <w:color w:val="1A1A1A"/>
          <w:sz w:val="20"/>
          <w:szCs w:val="20"/>
        </w:rPr>
        <w:t xml:space="preserve">Continued use of the Platform following the effective date of a revised AUP constitutes acceptance of the amended terms. If a user does not agree to a material change, the user must cease using the Platform before the effective date of the change and may close their account through the standard account closure process.</w:t>
      </w:r>
    </w:p>
    <w:p>
      <w:pPr>
        <w:pStyle w:val="Heading1"/>
        <w:pBdr>
          <w:bottom w:val="single" w:color="2E75B6" w:sz="6" w:space="4"/>
        </w:pBdr>
        <w:spacing w:after="120" w:before="360"/>
      </w:pPr>
      <w:r>
        <w:rPr>
          <w:rFonts w:ascii="Calibri" w:cs="Calibri" w:eastAsia="Calibri" w:hAnsi="Calibri"/>
          <w:b/>
          <w:bCs/>
          <w:color w:val="1B2A4A"/>
          <w:sz w:val="28"/>
          <w:szCs w:val="28"/>
        </w:rPr>
        <w:t xml:space="preserve">11. CONTACT</w:t>
      </w:r>
    </w:p>
    <w:p>
      <w:pPr>
        <w:spacing w:after="100" w:before="60"/>
        <w:jc w:val="both"/>
      </w:pPr>
      <w:r>
        <w:rPr>
          <w:rFonts w:ascii="Calibri" w:cs="Calibri" w:eastAsia="Calibri" w:hAnsi="Calibri"/>
          <w:b w:val="false"/>
          <w:bCs w:val="false"/>
          <w:i w:val="false"/>
          <w:iCs w:val="false"/>
          <w:color w:val="1A1A1A"/>
          <w:sz w:val="20"/>
          <w:szCs w:val="20"/>
        </w:rPr>
        <w:t xml:space="preserve">Questions about this Acceptable Use Policy or to report a potential violation may be directed to:</w:t>
      </w:r>
    </w:p>
    <w:p>
      <w:pPr>
        <w:spacing w:after="60" w:before="60"/>
      </w:pPr>
      <w:r>
        <w:t xml:space="preserve"/>
      </w:r>
    </w:p>
    <w:p>
      <w:pPr>
        <w:spacing w:after="60" w:before="80"/>
      </w:pPr>
      <w:r>
        <w:rPr>
          <w:rFonts w:ascii="Calibri" w:cs="Calibri" w:eastAsia="Calibri" w:hAnsi="Calibri"/>
          <w:b/>
          <w:bCs/>
          <w:color w:val="1B2A4A"/>
          <w:sz w:val="20"/>
          <w:szCs w:val="20"/>
        </w:rPr>
        <w:t xml:space="preserve">HustleXP Trust &amp; Safety</w:t>
      </w:r>
    </w:p>
    <w:p>
      <w:pPr>
        <w:spacing w:after="40" w:before="40"/>
      </w:pPr>
      <w:r>
        <w:rPr>
          <w:rFonts w:ascii="Calibri" w:cs="Calibri" w:eastAsia="Calibri" w:hAnsi="Calibri"/>
          <w:color w:val="2E75B6"/>
          <w:sz w:val="20"/>
          <w:szCs w:val="20"/>
        </w:rPr>
        <w:t xml:space="preserve">trust@hustlexp.com</w:t>
      </w:r>
    </w:p>
    <w:p>
      <w:pPr>
        <w:spacing w:after="80" w:before="40"/>
      </w:pPr>
      <w:r>
        <w:rPr>
          <w:rFonts w:ascii="Calibri" w:cs="Calibri" w:eastAsia="Calibri" w:hAnsi="Calibri"/>
          <w:color w:val="1A1A1A"/>
          <w:sz w:val="20"/>
          <w:szCs w:val="20"/>
        </w:rPr>
        <w:t xml:space="preserve">HustleXP, Inc.</w:t>
      </w:r>
    </w:p>
    <w:p>
      <w:pPr>
        <w:spacing w:after="60" w:before="60"/>
      </w:pPr>
      <w:r>
        <w:t xml:space="preserve"/>
      </w:r>
    </w:p>
    <w:p>
      <w:pPr>
        <w:spacing w:after="100" w:before="60"/>
        <w:jc w:val="both"/>
      </w:pPr>
      <w:r>
        <w:rPr>
          <w:rFonts w:ascii="Calibri" w:cs="Calibri" w:eastAsia="Calibri" w:hAnsi="Calibri"/>
          <w:b w:val="false"/>
          <w:bCs w:val="false"/>
          <w:i w:val="false"/>
          <w:iCs w:val="false"/>
          <w:color w:val="1A1A1A"/>
          <w:sz w:val="20"/>
          <w:szCs w:val="20"/>
        </w:rPr>
        <w:t xml:space="preserve">For urgent safety concerns involving imminent harm to a person, contact local emergency services immediately before contacting HustleXP.</w:t>
      </w:r>
    </w:p>
    <w:p>
      <w:pPr>
        <w:spacing w:after="60" w:before="60"/>
      </w:pPr>
      <w:r>
        <w:t xml:space="preserve"/>
      </w:r>
    </w:p>
    <w:p>
      <w:pPr>
        <w:spacing w:after="60" w:before="60"/>
      </w:pPr>
      <w:r>
        <w:t xml:space="preserve"/>
      </w:r>
    </w:p>
    <w:p>
      <w:pPr>
        <w:pBdr>
          <w:top w:val="single" w:color="CCCCCC" w:sz="4" w:space="8"/>
        </w:pBdr>
        <w:spacing w:after="80" w:before="320"/>
        <w:jc w:val="center"/>
      </w:pPr>
      <w:r>
        <w:rPr>
          <w:rFonts w:ascii="Calibri" w:cs="Calibri" w:eastAsia="Calibri" w:hAnsi="Calibri"/>
          <w:i/>
          <w:iCs/>
          <w:color w:val="666666"/>
          <w:sz w:val="18"/>
          <w:szCs w:val="18"/>
        </w:rPr>
        <w:t xml:space="preserve">This Acceptable Use Policy is effective as of [Effective Date]. All prior versions are superseded upon the effective date of this Policy.</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HustleXP Acceptable Use Policy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HustleXP Acceptable Use Policy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Calibri" w:cs="Calibri" w:eastAsia="Calibri" w:hAnsi="Calibri"/>
        <w:i/>
        <w:iCs/>
        <w:color w:val="888888"/>
        <w:sz w:val="16"/>
        <w:szCs w:val="16"/>
      </w:rPr>
      <w:t xml:space="preserve">HustleXP Acceptable Use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2A4A"/>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2E75B6"/>
      <w:sz w:val="22"/>
      <w:szCs w:val="22"/>
    </w:rPr>
  </w:style>
  <w:style w:type="paragraph" w:styleId="Heading3">
    <w:name w:val="Heading 3"/>
    <w:basedOn w:val="Normal"/>
    <w:next w:val="Normal"/>
    <w:qFormat/>
    <w:pPr>
      <w:spacing w:after="60" w:before="200"/>
      <w:outlineLvl w:val="2"/>
    </w:pPr>
    <w:rPr>
      <w:rFonts w:ascii="Calibri" w:cs="Calibri" w:eastAsia="Calibri" w:hAnsi="Calibri"/>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2026-03-15T09:01:54.308Z</dcterms:created>
  <dcterms:modified xsi:type="dcterms:W3CDTF">2026-03-15T09:01:54.314Z</dcterms:modified>
</cp:coreProperties>
</file>

<file path=docProps/custom.xml><?xml version="1.0" encoding="utf-8"?>
<Properties xmlns="http://schemas.openxmlformats.org/officeDocument/2006/custom-properties" xmlns:vt="http://schemas.openxmlformats.org/officeDocument/2006/docPropsVTypes"/>
</file>