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A8" w:sz="4"/>
              <w:left w:val="single" w:color="2D5FA8" w:sz="4"/>
              <w:bottom w:val="single" w:color="2D5FA8" w:sz="4"/>
              <w:right w:val="single" w:color="2D5FA8" w:sz="4"/>
            </w:tcBorders>
            <w:shd w:fill="D8E6F8" w:val="clear"/>
            <w:tcMar>
              <w:top w:type="dxa" w:w="200"/>
              <w:left w:type="dxa" w:w="240"/>
              <w:bottom w:type="dxa" w:w="200"/>
              <w:right w:type="dxa" w:w="240"/>
            </w:tcMar>
          </w:tcPr>
          <w:p>
            <w:pPr>
              <w:spacing w:after="80" w:before="0"/>
              <w:jc w:val="center"/>
            </w:pPr>
            <w:r>
              <w:rPr>
                <w:rFonts w:ascii="Arial" w:cs="Arial" w:eastAsia="Arial" w:hAnsi="Arial"/>
                <w:b/>
                <w:bCs/>
                <w:color w:val="1B2A4A"/>
                <w:sz w:val="28"/>
                <w:szCs w:val="28"/>
              </w:rPr>
              <w:t xml:space="preserve">HUSTLEXP INC.</w:t>
            </w:r>
          </w:p>
          <w:p>
            <w:pPr>
              <w:spacing w:after="60" w:before="0"/>
              <w:jc w:val="center"/>
            </w:pPr>
            <w:r>
              <w:rPr>
                <w:rFonts w:ascii="Arial" w:cs="Arial" w:eastAsia="Arial" w:hAnsi="Arial"/>
                <w:b/>
                <w:bCs/>
                <w:color w:val="1B2A4A"/>
                <w:sz w:val="26"/>
                <w:szCs w:val="26"/>
              </w:rPr>
              <w:t xml:space="preserve">Background Check Authorization &amp;</w:t>
            </w:r>
          </w:p>
          <w:p>
            <w:pPr>
              <w:spacing w:after="80" w:before="0"/>
              <w:jc w:val="center"/>
            </w:pPr>
            <w:r>
              <w:rPr>
                <w:rFonts w:ascii="Arial" w:cs="Arial" w:eastAsia="Arial" w:hAnsi="Arial"/>
                <w:b/>
                <w:bCs/>
                <w:color w:val="1B2A4A"/>
                <w:sz w:val="26"/>
                <w:szCs w:val="26"/>
              </w:rPr>
              <w:t xml:space="preserve">Supplemental Interview Consent Form</w:t>
            </w:r>
          </w:p>
          <w:p>
            <w:pPr>
              <w:spacing w:after="40" w:before="80"/>
              <w:jc w:val="center"/>
            </w:pPr>
            <w:r>
              <w:rPr>
                <w:rFonts w:ascii="Arial" w:cs="Arial" w:eastAsia="Arial" w:hAnsi="Arial"/>
                <w:i/>
                <w:iCs/>
                <w:color w:val="555555"/>
                <w:sz w:val="18"/>
                <w:szCs w:val="18"/>
              </w:rPr>
              <w:t xml:space="preserve">Prepared pursuant to the Fair Credit Reporting Act, 15 U.S.C. § 1681 et seq.</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BEAEA" w:val="clear"/>
            <w:tcMar>
              <w:top w:type="dxa" w:w="120"/>
              <w:left w:type="dxa" w:w="160"/>
              <w:bottom w:type="dxa" w:w="120"/>
              <w:right w:type="dxa" w:w="160"/>
            </w:tcMar>
          </w:tcPr>
          <w:p>
            <w:pPr>
              <w:spacing w:after="0" w:before="0"/>
              <w:jc w:val="center"/>
            </w:pPr>
            <w:r>
              <w:rPr>
                <w:rFonts w:ascii="Arial" w:cs="Arial" w:eastAsia="Arial" w:hAnsi="Arial"/>
                <w:b/>
                <w:bCs/>
                <w:color w:val="C0392B"/>
                <w:sz w:val="21"/>
                <w:szCs w:val="21"/>
              </w:rPr>
              <w:t xml:space="preserve">IMPORTANT: </w:t>
            </w:r>
            <w:r>
              <w:rPr>
                <w:rFonts w:ascii="Arial" w:cs="Arial" w:eastAsia="Arial" w:hAnsi="Arial"/>
                <w:b/>
                <w:bCs/>
                <w:color w:val="C0392B"/>
                <w:sz w:val="21"/>
                <w:szCs w:val="21"/>
              </w:rPr>
              <w:t xml:space="preserve">This form is for background check purposes only. HustleXP is a technology marketplace, not an employer. This authorization does not create an employment relationship.</w:t>
            </w:r>
          </w:p>
        </w:tc>
      </w:tr>
    </w:tbl>
    <w:p>
      <w:pPr>
        <w:spacing w:after="80" w:before="160"/>
      </w:pPr>
    </w:p>
    <w:p>
      <w:pPr>
        <w:spacing w:after="200" w:before="0"/>
        <w:jc w:val="left"/>
      </w:pPr>
      <w:r>
        <w:rPr>
          <w:rFonts w:ascii="Arial" w:cs="Arial" w:eastAsia="Arial" w:hAnsi="Arial"/>
          <w:color w:val="000000"/>
          <w:sz w:val="20"/>
          <w:szCs w:val="20"/>
        </w:rPr>
        <w:t xml:space="preserve">Before HustleXP Inc. (“Platform”) may obtain a consumer report about you for contractor qualification purposes, federal law requires us to provide you with a clear and conspicuous written disclosure and obtain your written authorization. This form contains that disclosure and authorization. Please read all sections carefully before signing.</w:t>
      </w:r>
    </w:p>
    <w:p>
      <w:pPr>
        <w:spacing w:after="200" w:before="0"/>
        <w:jc w:val="left"/>
      </w:pPr>
      <w:r>
        <w:rPr>
          <w:rFonts w:ascii="Arial" w:cs="Arial" w:eastAsia="Arial" w:hAnsi="Arial"/>
          <w:color w:val="000000"/>
          <w:sz w:val="20"/>
          <w:szCs w:val="20"/>
        </w:rPr>
        <w:t xml:space="preserve">This form consists of seven (7) sections: (A) FCRA Disclosure; (B) Background Check Authorization; (C) Checkr Candidate Authorization; (D) Platform Disqualification Criteria; (E) Adverse Action Process; (F) Supplemental Interview Consent; and (G) Candidate Rights Summary. Your signature at the end of this document constitutes your agreement to all sections.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A — FCRA DISCLOSURE (STANDALONE DISCLOSURE DOCUMENT)</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A8" w:sz="4"/>
              <w:left w:val="single" w:color="2D5FA8" w:sz="4"/>
              <w:bottom w:val="single" w:color="2D5FA8" w:sz="4"/>
              <w:right w:val="single" w:color="2D5FA8" w:sz="4"/>
            </w:tcBorders>
            <w:shd w:fill="D8E6F8" w:val="clear"/>
            <w:tcMar>
              <w:top w:type="dxa" w:w="120"/>
              <w:left w:type="dxa" w:w="160"/>
              <w:bottom w:type="dxa" w:w="120"/>
              <w:right w:type="dxa" w:w="160"/>
            </w:tcMar>
          </w:tcPr>
          <w:p>
            <w:pPr>
              <w:spacing w:after="60" w:before="0"/>
            </w:pPr>
            <w:r>
              <w:rPr>
                <w:rFonts w:ascii="Arial" w:cs="Arial" w:eastAsia="Arial" w:hAnsi="Arial"/>
                <w:b/>
                <w:bCs/>
                <w:color w:val="1B2A4A"/>
                <w:sz w:val="20"/>
                <w:szCs w:val="20"/>
              </w:rPr>
              <w:t xml:space="preserve">Note on FCRA Compliance:</w:t>
            </w:r>
          </w:p>
          <w:p>
            <w:pPr>
              <w:spacing w:after="0" w:before="0"/>
            </w:pPr>
            <w:r>
              <w:rPr>
                <w:rFonts w:ascii="Arial" w:cs="Arial" w:eastAsia="Arial" w:hAnsi="Arial"/>
                <w:color w:val="000000"/>
                <w:sz w:val="20"/>
                <w:szCs w:val="20"/>
              </w:rPr>
              <w:t xml:space="preserve">The Fair Credit Reporting Act, 15 U.S.C. § 604(b)(2)(A), requires that a disclosure regarding a background investigation consist solely of the disclosure. This Section A constitutes that standalone disclosure. No unrelated terms, waivers of claims, or extraneous information are contained herein.</w:t>
            </w:r>
          </w:p>
        </w:tc>
      </w:tr>
    </w:tbl>
    <w:p>
      <w:pPr>
        <w:spacing w:after="60" w:before="160"/>
      </w:pPr>
    </w:p>
    <w:p>
      <w:pPr>
        <w:spacing w:after="120" w:before="0"/>
        <w:jc w:val="center"/>
      </w:pPr>
      <w:r>
        <w:rPr>
          <w:rFonts w:ascii="Arial" w:cs="Arial" w:eastAsia="Arial" w:hAnsi="Arial"/>
          <w:b/>
          <w:bCs/>
          <w:color w:val="1B2A4A"/>
          <w:sz w:val="22"/>
          <w:szCs w:val="22"/>
          <w:u w:val="single"/>
        </w:rPr>
        <w:t xml:space="preserve">DISCLOSURE REGARDING BACKGROUND INVESTIGATION</w:t>
      </w:r>
    </w:p>
    <w:p>
      <w:pPr>
        <w:spacing w:after="200" w:before="0"/>
        <w:jc w:val="left"/>
      </w:pPr>
      <w:r>
        <w:rPr>
          <w:rFonts w:ascii="Arial" w:cs="Arial" w:eastAsia="Arial" w:hAnsi="Arial"/>
          <w:color w:val="000000"/>
          <w:sz w:val="20"/>
          <w:szCs w:val="20"/>
        </w:rPr>
        <w:t xml:space="preserve">HustleXP Inc. (“HustleXP,” “Company,” or “Platform”) may obtain information about you from a consumer reporting agency for contractor qualification purposes. Accordingly, you may be the subject of a “consumer report” and/or an “investigative consumer report,” which may include information about your character, general reputation, personal characteristics, and/or mode of living.</w:t>
      </w:r>
    </w:p>
    <w:p>
      <w:pPr>
        <w:spacing w:after="200" w:before="0"/>
        <w:jc w:val="left"/>
      </w:pPr>
      <w:r>
        <w:rPr>
          <w:rFonts w:ascii="Arial" w:cs="Arial" w:eastAsia="Arial" w:hAnsi="Arial"/>
          <w:color w:val="000000"/>
          <w:sz w:val="20"/>
          <w:szCs w:val="20"/>
        </w:rPr>
        <w:t xml:space="preserve">These reports may contain the following types of information: names and dates of previous employment, reasons for termination of employment, work experience, accidents, skills, abilities, and references. When such information is sought in connection with your application for work as an independent contractor with HustleXP, this may include criminal background information, Social Security number trace, national sex offender registry searches, global watchlist searches, and county criminal record searches.</w:t>
      </w:r>
    </w:p>
    <w:p>
      <w:pPr>
        <w:spacing w:after="60" w:before="100"/>
      </w:pPr>
    </w:p>
    <w:p>
      <w:pPr>
        <w:spacing w:after="100" w:before="240"/>
      </w:pPr>
      <w:r>
        <w:rPr>
          <w:rFonts w:ascii="Arial" w:cs="Arial" w:eastAsia="Arial" w:hAnsi="Arial"/>
          <w:b/>
          <w:bCs/>
          <w:color w:val="1B2A4A"/>
          <w:sz w:val="21"/>
          <w:szCs w:val="21"/>
        </w:rPr>
        <w:t xml:space="preserve">Consumer Reporting Agency</w:t>
      </w:r>
    </w:p>
    <w:p>
      <w:pPr>
        <w:spacing w:after="120" w:before="0"/>
        <w:jc w:val="left"/>
      </w:pPr>
      <w:r>
        <w:rPr>
          <w:rFonts w:ascii="Arial" w:cs="Arial" w:eastAsia="Arial" w:hAnsi="Arial"/>
          <w:color w:val="000000"/>
          <w:sz w:val="20"/>
          <w:szCs w:val="20"/>
        </w:rPr>
        <w:t xml:space="preserve">The consumer reporting agency that may provide such information is: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D4" w:sz="4"/>
              <w:left w:val="single" w:color="AABCD4" w:sz="4"/>
              <w:bottom w:val="single" w:color="AABCD4" w:sz="4"/>
              <w:right w:val="single" w:color="AABCD4" w:sz="4"/>
            </w:tcBorders>
            <w:shd w:fill="F4F6F9"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Checkr, Inc.</w:t>
            </w:r>
          </w:p>
          <w:p>
            <w:pPr>
              <w:spacing w:after="40" w:before="0"/>
            </w:pPr>
            <w:r>
              <w:rPr>
                <w:rFonts w:ascii="Arial" w:cs="Arial" w:eastAsia="Arial" w:hAnsi="Arial"/>
                <w:color w:val="000000"/>
                <w:sz w:val="20"/>
                <w:szCs w:val="20"/>
              </w:rPr>
              <w:t xml:space="preserve">1 Montgomery Street, Suite 2400</w:t>
            </w:r>
          </w:p>
          <w:p>
            <w:pPr>
              <w:spacing w:after="40" w:before="0"/>
            </w:pPr>
            <w:r>
              <w:rPr>
                <w:rFonts w:ascii="Arial" w:cs="Arial" w:eastAsia="Arial" w:hAnsi="Arial"/>
                <w:color w:val="000000"/>
                <w:sz w:val="20"/>
                <w:szCs w:val="20"/>
              </w:rPr>
              <w:t xml:space="preserve">San Francisco, CA 94104</w:t>
            </w:r>
          </w:p>
          <w:p>
            <w:pPr>
              <w:spacing w:after="40" w:before="0"/>
            </w:pPr>
            <w:r>
              <w:rPr>
                <w:rFonts w:ascii="Arial" w:cs="Arial" w:eastAsia="Arial" w:hAnsi="Arial"/>
                <w:color w:val="000000"/>
                <w:sz w:val="20"/>
                <w:szCs w:val="20"/>
              </w:rPr>
              <w:t xml:space="preserve">Telephone: (844) 824-3257</w:t>
            </w:r>
          </w:p>
          <w:p>
            <w:pPr>
              <w:spacing w:after="40" w:before="0"/>
            </w:pPr>
            <w:r>
              <w:rPr>
                <w:rFonts w:ascii="Arial" w:cs="Arial" w:eastAsia="Arial" w:hAnsi="Arial"/>
                <w:color w:val="000000"/>
                <w:sz w:val="20"/>
                <w:szCs w:val="20"/>
              </w:rPr>
              <w:t xml:space="preserve">Website: </w:t>
            </w:r>
            <w:hyperlink w:history="1" r:id="rIds9m6s0r5tctlfunocfcca">
              <w:r>
                <w:rPr>
                  <w:rFonts w:ascii="Arial" w:cs="Arial" w:eastAsia="Arial" w:hAnsi="Arial"/>
                  <w:color w:val="2D5FA8"/>
                  <w:sz w:val="20"/>
                  <w:szCs w:val="20"/>
                  <w:u w:val="single"/>
                </w:rPr>
                <w:t xml:space="preserve">https://checkr.com</w:t>
              </w:r>
            </w:hyperlink>
          </w:p>
          <w:p>
            <w:pPr>
              <w:spacing w:after="0" w:before="0"/>
            </w:pPr>
            <w:r>
              <w:rPr>
                <w:rFonts w:ascii="Arial" w:cs="Arial" w:eastAsia="Arial" w:hAnsi="Arial"/>
                <w:color w:val="000000"/>
                <w:sz w:val="20"/>
                <w:szCs w:val="20"/>
              </w:rPr>
              <w:t xml:space="preserve">Privacy Policy: </w:t>
            </w:r>
            <w:hyperlink w:history="1" r:id="rIdndmvzmbhvu5fw5pplh6lp">
              <w:r>
                <w:rPr>
                  <w:rFonts w:ascii="Arial" w:cs="Arial" w:eastAsia="Arial" w:hAnsi="Arial"/>
                  <w:color w:val="2D5FA8"/>
                  <w:sz w:val="20"/>
                  <w:szCs w:val="20"/>
                  <w:u w:val="single"/>
                </w:rPr>
                <w:t xml:space="preserve">https://checkr.com/privacy-policy</w:t>
              </w:r>
            </w:hyperlink>
          </w:p>
        </w:tc>
      </w:tr>
    </w:tbl>
    <w:p>
      <w:pPr>
        <w:spacing w:after="60" w:before="160"/>
      </w:pPr>
    </w:p>
    <w:p>
      <w:pPr>
        <w:spacing w:after="100" w:before="240"/>
      </w:pPr>
      <w:r>
        <w:rPr>
          <w:rFonts w:ascii="Arial" w:cs="Arial" w:eastAsia="Arial" w:hAnsi="Arial"/>
          <w:b/>
          <w:bCs/>
          <w:color w:val="1B2A4A"/>
          <w:sz w:val="21"/>
          <w:szCs w:val="21"/>
        </w:rPr>
        <w:t xml:space="preserve">Your Rights Under the Fair Credit Reporting Act</w:t>
      </w:r>
    </w:p>
    <w:p>
      <w:pPr>
        <w:spacing w:after="120" w:before="0"/>
        <w:jc w:val="left"/>
      </w:pPr>
      <w:r>
        <w:rPr>
          <w:rFonts w:ascii="Arial" w:cs="Arial" w:eastAsia="Arial" w:hAnsi="Arial"/>
          <w:color w:val="000000"/>
          <w:sz w:val="20"/>
          <w:szCs w:val="20"/>
        </w:rPr>
        <w:t xml:space="preserve">Under the Fair Credit Reporting Act (15 U.S.C. § 1681 et seq.), you have the following rights with respect to consumer reports:</w:t>
      </w:r>
    </w:p>
    <w:p>
      <w:pPr>
        <w:spacing w:after="40" w:before="60"/>
      </w:pPr>
    </w:p>
    <w:p>
      <w:pPr>
        <w:pStyle w:val="ListParagraph"/>
        <w:numPr>
          <w:ilvl w:val="0"/>
          <w:numId w:val="2"/>
        </w:numPr>
        <w:spacing w:after="60" w:before="40"/>
      </w:pPr>
      <w:r>
        <w:rPr>
          <w:rFonts w:ascii="Arial" w:cs="Arial" w:eastAsia="Arial" w:hAnsi="Arial"/>
          <w:b/>
          <w:bCs/>
          <w:color w:val="000000"/>
          <w:sz w:val="20"/>
          <w:szCs w:val="20"/>
        </w:rPr>
        <w:t xml:space="preserve">Right to Know If Information Was Used Against You: </w:t>
      </w:r>
      <w:r>
        <w:rPr>
          <w:rFonts w:ascii="Arial" w:cs="Arial" w:eastAsia="Arial" w:hAnsi="Arial"/>
          <w:color w:val="000000"/>
          <w:sz w:val="20"/>
          <w:szCs w:val="20"/>
        </w:rPr>
        <w:t xml:space="preserve">You have the right to be told if information in your consumer report has been used against you in a decision related to your application to provide services through the Platform.</w:t>
      </w:r>
    </w:p>
    <w:p>
      <w:pPr>
        <w:pStyle w:val="ListParagraph"/>
        <w:numPr>
          <w:ilvl w:val="0"/>
          <w:numId w:val="2"/>
        </w:numPr>
        <w:spacing w:after="60" w:before="40"/>
      </w:pPr>
      <w:r>
        <w:rPr>
          <w:rFonts w:ascii="Arial" w:cs="Arial" w:eastAsia="Arial" w:hAnsi="Arial"/>
          <w:b/>
          <w:bCs/>
          <w:color w:val="000000"/>
          <w:sz w:val="20"/>
          <w:szCs w:val="20"/>
        </w:rPr>
        <w:t xml:space="preserve">Right to Access Your File: </w:t>
      </w:r>
      <w:r>
        <w:rPr>
          <w:rFonts w:ascii="Arial" w:cs="Arial" w:eastAsia="Arial" w:hAnsi="Arial"/>
          <w:color w:val="000000"/>
          <w:sz w:val="20"/>
          <w:szCs w:val="20"/>
        </w:rPr>
        <w:t xml:space="preserve">You have the right to a free file disclosure from the consumer reporting agency, upon request, within 60 days of an adverse action or if you otherwise certify that you are unemployed and plan to seek employment within 60 days.</w:t>
      </w:r>
    </w:p>
    <w:p>
      <w:pPr>
        <w:pStyle w:val="ListParagraph"/>
        <w:numPr>
          <w:ilvl w:val="0"/>
          <w:numId w:val="2"/>
        </w:numPr>
        <w:spacing w:after="60" w:before="40"/>
      </w:pPr>
      <w:r>
        <w:rPr>
          <w:rFonts w:ascii="Arial" w:cs="Arial" w:eastAsia="Arial" w:hAnsi="Arial"/>
          <w:b/>
          <w:bCs/>
          <w:color w:val="000000"/>
          <w:sz w:val="20"/>
          <w:szCs w:val="20"/>
        </w:rPr>
        <w:t xml:space="preserve">Right to Know If a Credit Score Was Used: </w:t>
      </w:r>
      <w:r>
        <w:rPr>
          <w:rFonts w:ascii="Arial" w:cs="Arial" w:eastAsia="Arial" w:hAnsi="Arial"/>
          <w:color w:val="000000"/>
          <w:sz w:val="20"/>
          <w:szCs w:val="20"/>
        </w:rPr>
        <w:t>If a credit score was used as part of the consumer report obtained about you, you have the right to be informed of that fact and to receive a copy of the score. Note: Credit scores are not typically obtained or used in background checks conducted for independent contractor qualification purposes.</w:t>
      </w:r>
    </w:p>
    <w:p>
      <w:pPr>
        <w:pStyle w:val="ListParagraph"/>
        <w:numPr>
          <w:ilvl w:val="0"/>
          <w:numId w:val="2"/>
        </w:numPr>
        <w:spacing w:after="60" w:before="40"/>
      </w:pPr>
      <w:r>
        <w:rPr>
          <w:rFonts w:ascii="Arial" w:cs="Arial" w:eastAsia="Arial" w:hAnsi="Arial"/>
          <w:b/>
          <w:bCs/>
          <w:color w:val="000000"/>
          <w:sz w:val="20"/>
          <w:szCs w:val="20"/>
        </w:rPr>
        <w:t xml:space="preserve">Right to Dispute Inaccurate Information: </w:t>
      </w:r>
      <w:r>
        <w:rPr>
          <w:rFonts w:ascii="Arial" w:cs="Arial" w:eastAsia="Arial" w:hAnsi="Arial"/>
          <w:color w:val="000000"/>
          <w:sz w:val="20"/>
          <w:szCs w:val="20"/>
        </w:rPr>
        <w:t xml:space="preserve">If you find information in your file that is inaccurate or incomplete, you have the right to dispute that information directly with the consumer reporting agency. The agency must investigate and correct or delete inaccurate, incomplete, or unverifiable information.</w:t>
      </w:r>
    </w:p>
    <w:p>
      <w:pPr>
        <w:pStyle w:val="ListParagraph"/>
        <w:numPr>
          <w:ilvl w:val="0"/>
          <w:numId w:val="2"/>
        </w:numPr>
        <w:spacing w:after="60" w:before="40"/>
      </w:pPr>
      <w:r>
        <w:rPr>
          <w:rFonts w:ascii="Arial" w:cs="Arial" w:eastAsia="Arial" w:hAnsi="Arial"/>
          <w:b/>
          <w:bCs/>
          <w:color w:val="000000"/>
          <w:sz w:val="20"/>
          <w:szCs w:val="20"/>
        </w:rPr>
        <w:t xml:space="preserve">Right to Outdated Information Removal: </w:t>
      </w:r>
      <w:r>
        <w:rPr>
          <w:rFonts w:ascii="Arial" w:cs="Arial" w:eastAsia="Arial" w:hAnsi="Arial"/>
          <w:color w:val="000000"/>
          <w:sz w:val="20"/>
          <w:szCs w:val="20"/>
        </w:rPr>
        <w:t xml:space="preserve">Most negative information more than seven (7) years old must be excluded from your report. Bankruptcy information may be reported for up to ten (10) years.</w:t>
      </w:r>
    </w:p>
    <w:p>
      <w:pPr>
        <w:pStyle w:val="ListParagraph"/>
        <w:numPr>
          <w:ilvl w:val="0"/>
          <w:numId w:val="2"/>
        </w:numPr>
        <w:spacing w:after="60" w:before="40"/>
      </w:pPr>
      <w:r>
        <w:rPr>
          <w:rFonts w:ascii="Arial" w:cs="Arial" w:eastAsia="Arial" w:hAnsi="Arial"/>
          <w:b/>
          <w:bCs/>
          <w:color w:val="000000"/>
          <w:sz w:val="20"/>
          <w:szCs w:val="20"/>
        </w:rPr>
        <w:t xml:space="preserve">Right to Seek Damages: </w:t>
      </w:r>
      <w:r>
        <w:rPr>
          <w:rFonts w:ascii="Arial" w:cs="Arial" w:eastAsia="Arial" w:hAnsi="Arial"/>
          <w:color w:val="000000"/>
          <w:sz w:val="20"/>
          <w:szCs w:val="20"/>
        </w:rPr>
        <w:t xml:space="preserve">If a consumer reporting agency, or, in some cases, a user of consumer reports violates the FCRA, you may have the right to sue in state or federal court.</w:t>
      </w:r>
    </w:p>
    <w:p>
      <w:pPr>
        <w:pStyle w:val="ListParagraph"/>
        <w:numPr>
          <w:ilvl w:val="0"/>
          <w:numId w:val="2"/>
        </w:numPr>
        <w:spacing w:after="60" w:before="40"/>
      </w:pPr>
      <w:r>
        <w:rPr>
          <w:rFonts w:ascii="Arial" w:cs="Arial" w:eastAsia="Arial" w:hAnsi="Arial"/>
          <w:b/>
          <w:bCs/>
          <w:color w:val="000000"/>
          <w:sz w:val="20"/>
          <w:szCs w:val="20"/>
        </w:rPr>
        <w:t xml:space="preserve">Right to File Complaints: </w:t>
      </w:r>
      <w:r>
        <w:rPr>
          <w:rFonts w:ascii="Arial" w:cs="Arial" w:eastAsia="Arial" w:hAnsi="Arial"/>
          <w:color w:val="000000"/>
          <w:sz w:val="20"/>
          <w:szCs w:val="20"/>
        </w:rPr>
        <w:t xml:space="preserve">You may contact the Consumer Financial Protection Bureau (CFPB) at www.consumerfinance.gov/learnmore or call 1-855-411-2372. You may also contact the Federal Trade Commission (FTC) at www.ftc.gov.</w:t>
      </w:r>
    </w:p>
    <w:p>
      <w:pPr>
        <w:spacing w:after="6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B — BACKGROUND CHECK AUTHORIZATION</w:t>
            </w:r>
          </w:p>
        </w:tc>
      </w:tr>
    </w:tbl>
    <w:p>
      <w:pPr>
        <w:spacing w:after="60" w:before="160"/>
      </w:pPr>
    </w:p>
    <w:p>
      <w:pPr>
        <w:spacing w:after="200" w:before="0"/>
        <w:jc w:val="left"/>
      </w:pPr>
      <w:r>
        <w:rPr>
          <w:rFonts w:ascii="Arial" w:cs="Arial" w:eastAsia="Arial" w:hAnsi="Arial"/>
          <w:color w:val="000000"/>
          <w:sz w:val="20"/>
          <w:szCs w:val="20"/>
        </w:rPr>
        <w:t xml:space="preserve">I hereby authorize HustleXP Inc. to obtain one or more consumer reports and/or investigative consumer reports about me, from time to time, for the purpose of evaluating my eligibility to provide services as an independent contractor through the HustleXP Platform. This authorization shall remain in effect for the duration of my registration with the Platform, unless revoked in writing.</w:t>
      </w:r>
    </w:p>
    <w:p>
      <w:pPr>
        <w:spacing w:after="120" w:before="0"/>
        <w:jc w:val="left"/>
      </w:pPr>
      <w:r>
        <w:rPr>
          <w:rFonts w:ascii="Arial" w:cs="Arial" w:eastAsia="Arial" w:hAnsi="Arial"/>
          <w:color w:val="000000"/>
          <w:sz w:val="20"/>
          <w:szCs w:val="20"/>
        </w:rPr>
        <w:t xml:space="preserve">I understand and acknowledge the following:</w:t>
      </w:r>
    </w:p>
    <w:p>
      <w:pPr>
        <w:spacing w:after="40" w:before="60"/>
      </w:pPr>
    </w:p>
    <w:p>
      <w:pPr>
        <w:pStyle w:val="ListParagraph"/>
        <w:numPr>
          <w:ilvl w:val="0"/>
          <w:numId w:val="3"/>
        </w:numPr>
        <w:spacing w:after="60" w:before="40"/>
      </w:pPr>
      <w:r>
        <w:rPr>
          <w:rFonts w:ascii="Arial" w:cs="Arial" w:eastAsia="Arial" w:hAnsi="Arial"/>
          <w:color w:val="000000"/>
          <w:sz w:val="20"/>
          <w:szCs w:val="20"/>
        </w:rPr>
        <w:t xml:space="preserve">A consumer report and/or investigative consumer report will be obtained about me from Checkr, Inc., a consumer reporting agency, for contractor qualification purposes.</w:t>
      </w:r>
    </w:p>
    <w:p>
      <w:pPr>
        <w:pStyle w:val="ListParagraph"/>
        <w:numPr>
          <w:ilvl w:val="0"/>
          <w:numId w:val="3"/>
        </w:numPr>
        <w:spacing w:after="60" w:before="40"/>
      </w:pPr>
      <w:r>
        <w:rPr>
          <w:rFonts w:ascii="Arial" w:cs="Arial" w:eastAsia="Arial" w:hAnsi="Arial"/>
          <w:color w:val="000000"/>
          <w:sz w:val="20"/>
          <w:szCs w:val="20"/>
        </w:rPr>
        <w:t xml:space="preserve">Such report(s) may include information relating to my criminal history, motor vehicle records (if applicable), professional licenses and certifications, education and employment history, Social Security number trace, identity verification, and national and local criminal searches.</w:t>
      </w:r>
    </w:p>
    <w:p>
      <w:pPr>
        <w:pStyle w:val="ListParagraph"/>
        <w:numPr>
          <w:ilvl w:val="0"/>
          <w:numId w:val="3"/>
        </w:numPr>
        <w:spacing w:after="60" w:before="40"/>
      </w:pPr>
      <w:r>
        <w:rPr>
          <w:rFonts w:ascii="Arial" w:cs="Arial" w:eastAsia="Arial" w:hAnsi="Arial"/>
          <w:color w:val="000000"/>
          <w:sz w:val="20"/>
          <w:szCs w:val="20"/>
        </w:rPr>
        <w:t xml:space="preserve">HustleXP may obtain a consumer report at any time during my engagement with the Platform, including periodically after my initial application, for the purpose of continuously evaluating my eligibility.</w:t>
      </w:r>
    </w:p>
    <w:p>
      <w:pPr>
        <w:pStyle w:val="ListParagraph"/>
        <w:numPr>
          <w:ilvl w:val="0"/>
          <w:numId w:val="3"/>
        </w:numPr>
        <w:spacing w:after="60" w:before="40"/>
      </w:pPr>
      <w:r>
        <w:rPr>
          <w:rFonts w:ascii="Arial" w:cs="Arial" w:eastAsia="Arial" w:hAnsi="Arial"/>
          <w:color w:val="000000"/>
          <w:sz w:val="20"/>
          <w:szCs w:val="20"/>
        </w:rPr>
        <w:t xml:space="preserve">If the Platform intends to take adverse action based in whole or in part on the consumer report, I will receive a pre-adverse action notice and an opportunity to review the report and dispute any inaccuracies before a final decision is made.</w:t>
      </w:r>
    </w:p>
    <w:p>
      <w:pPr>
        <w:pStyle w:val="ListParagraph"/>
        <w:numPr>
          <w:ilvl w:val="0"/>
          <w:numId w:val="3"/>
        </w:numPr>
        <w:spacing w:after="60" w:before="40"/>
      </w:pPr>
      <w:r>
        <w:rPr>
          <w:rFonts w:ascii="Arial" w:cs="Arial" w:eastAsia="Arial" w:hAnsi="Arial"/>
          <w:color w:val="000000"/>
          <w:sz w:val="20"/>
          <w:szCs w:val="20"/>
        </w:rPr>
        <w:t xml:space="preserve">I have the right to obtain a free copy of the consumer report if any adverse action is taken.</w:t>
      </w:r>
    </w:p>
    <w:p>
      <w:pPr>
        <w:pStyle w:val="ListParagraph"/>
        <w:numPr>
          <w:ilvl w:val="0"/>
          <w:numId w:val="3"/>
        </w:numPr>
        <w:spacing w:after="60" w:before="40"/>
      </w:pPr>
      <w:r>
        <w:rPr>
          <w:rFonts w:ascii="Arial" w:cs="Arial" w:eastAsia="Arial" w:hAnsi="Arial"/>
          <w:color w:val="000000"/>
          <w:sz w:val="20"/>
          <w:szCs w:val="20"/>
        </w:rPr>
        <w:t xml:space="preserve">I have been provided with a summary of my rights under the FCRA and I have had the opportunity to read it.</w:t>
      </w:r>
    </w:p>
    <w:p>
      <w:pPr>
        <w:pStyle w:val="ListParagraph"/>
        <w:numPr>
          <w:ilvl w:val="0"/>
          <w:numId w:val="3"/>
        </w:numPr>
        <w:spacing w:after="60" w:before="40"/>
      </w:pPr>
      <w:r>
        <w:rPr>
          <w:rFonts w:ascii="Arial" w:cs="Arial" w:eastAsia="Arial" w:hAnsi="Arial"/>
          <w:color w:val="000000"/>
          <w:sz w:val="20"/>
          <w:szCs w:val="20"/>
        </w:rPr>
        <w:t xml:space="preserve">This authorization does not create an employment relationship between me and HustleXP Inc. I understand and acknowledge that I am an independent contractor, not an employee.</w:t>
      </w:r>
    </w:p>
    <w:p>
      <w:pPr>
        <w:spacing w:after="60" w:before="120"/>
      </w:pPr>
    </w:p>
    <w:p>
      <w:pPr>
        <w:spacing w:after="100" w:before="240"/>
      </w:pPr>
      <w:r>
        <w:rPr>
          <w:rFonts w:ascii="Arial" w:cs="Arial" w:eastAsia="Arial" w:hAnsi="Arial"/>
          <w:b/>
          <w:bCs/>
          <w:color w:val="1B2A4A"/>
          <w:sz w:val="21"/>
          <w:szCs w:val="21"/>
        </w:rPr>
        <w:t xml:space="preserve">To the Extent Required by State Law:</w:t>
      </w:r>
    </w:p>
    <w:p>
      <w:pPr>
        <w:spacing w:after="200" w:before="0"/>
        <w:jc w:val="left"/>
      </w:pPr>
      <w:r>
        <w:rPr>
          <w:rFonts w:ascii="Arial" w:cs="Arial" w:eastAsia="Arial" w:hAnsi="Arial"/>
          <w:color w:val="000000"/>
          <w:sz w:val="20"/>
          <w:szCs w:val="20"/>
        </w:rPr>
        <w:t>For applicants in California, Minnesota, and Oklahoma: I have the right to receive a copy of the consumer report at no charge upon request. For Applicants in New York: You have the right to inspect and receive a copy of any investigative consumer report requested in connection with your application. Additionally, pursuant to New York Correction Law Article 23-A, HustleXP may not deny you access to the Platform solely based on a prior criminal conviction unless: (1) there is a direct relationship between the criminal offense and the specific task category for which access is being considered; or (2) granting access would involve an unreasonable risk to the safety or welfare of Platform users or the general public. In making any access decision involving a prior criminal conviction, HustleXP will consider the following factors: (a) the New York public policy encouraging employment of persons previously convicted of criminal offenses; (b) the specific tasks for which access is sought; (c) the bearing, if any, of the criminal offense upon fitness to perform those tasks; (d) the time elapsed since the occurrence of the criminal offense; (e) the age of the candidate at the time of occurrence; (f) the seriousness of the offense; (g) any information produced by the candidate regarding rehabilitation and good conduct; and (h) the legitimate interest of Platform in protecting the safety of users. For task categories subject to mandatory background check requirements under New York law, different standards may apply. Contact legal@hustlexp.com for more information. For applicants in Massachusetts: I have the right to obtain a copy of my consumer report from the consumer reporting agency. A copy of this authorization and the FCRA summary of rights will be provided to me.</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C — CHECKR CANDIDATE AUTHORIZATION</w:t>
            </w:r>
          </w:p>
        </w:tc>
      </w:tr>
    </w:tbl>
    <w:p>
      <w:pPr>
        <w:spacing w:after="60" w:before="160"/>
      </w:pPr>
    </w:p>
    <w:p>
      <w:pPr>
        <w:spacing w:after="200" w:before="0"/>
        <w:jc w:val="left"/>
      </w:pPr>
      <w:r>
        <w:rPr>
          <w:rFonts w:ascii="Arial" w:cs="Arial" w:eastAsia="Arial" w:hAnsi="Arial"/>
          <w:color w:val="000000"/>
          <w:sz w:val="20"/>
          <w:szCs w:val="20"/>
        </w:rPr>
        <w:t xml:space="preserve">In addition to the authorization granted to HustleXP Inc. in Section B above, I separately authorize Checkr, Inc. (“Checkr”) to obtain, compile, and deliver my consumer report to HustleXP Inc. I understand that Checkr acts as a consumer reporting agency as defined under the FCRA and applicable state law.</w:t>
      </w:r>
    </w:p>
    <w:p>
      <w:pPr>
        <w:spacing w:after="100" w:before="240"/>
      </w:pPr>
      <w:r>
        <w:rPr>
          <w:rFonts w:ascii="Arial" w:cs="Arial" w:eastAsia="Arial" w:hAnsi="Arial"/>
          <w:b/>
          <w:bCs/>
          <w:color w:val="1B2A4A"/>
          <w:sz w:val="21"/>
          <w:szCs w:val="21"/>
        </w:rPr>
        <w:t xml:space="preserve">Background Check Components</w:t>
      </w:r>
    </w:p>
    <w:p>
      <w:pPr>
        <w:spacing w:after="120" w:before="0"/>
        <w:jc w:val="left"/>
      </w:pPr>
      <w:r>
        <w:rPr>
          <w:rFonts w:ascii="Arial" w:cs="Arial" w:eastAsia="Arial" w:hAnsi="Arial"/>
          <w:color w:val="000000"/>
          <w:sz w:val="20"/>
          <w:szCs w:val="20"/>
        </w:rPr>
        <w:t xml:space="preserve">I specifically authorize Checkr to conduct, as applicable, the following searches and verifications:</w:t>
      </w:r>
    </w:p>
    <w:p>
      <w:pPr>
        <w:spacing w:after="40" w:before="60"/>
      </w:pPr>
    </w:p>
    <w:p>
      <w:pPr>
        <w:pStyle w:val="ListParagraph"/>
        <w:numPr>
          <w:ilvl w:val="0"/>
          <w:numId w:val="4"/>
        </w:numPr>
        <w:spacing w:after="60" w:before="40"/>
      </w:pPr>
      <w:r>
        <w:rPr>
          <w:rFonts w:ascii="Arial" w:cs="Arial" w:eastAsia="Arial" w:hAnsi="Arial"/>
          <w:b/>
          <w:bCs/>
          <w:color w:val="000000"/>
          <w:sz w:val="20"/>
          <w:szCs w:val="20"/>
        </w:rPr>
        <w:t xml:space="preserve">SSN Trace: </w:t>
      </w:r>
      <w:r>
        <w:rPr>
          <w:rFonts w:ascii="Arial" w:cs="Arial" w:eastAsia="Arial" w:hAnsi="Arial"/>
          <w:color w:val="000000"/>
          <w:sz w:val="20"/>
          <w:szCs w:val="20"/>
        </w:rPr>
        <w:t xml:space="preserve">Identity verification via Social Security number matching.</w:t>
      </w:r>
    </w:p>
    <w:p>
      <w:pPr>
        <w:pStyle w:val="ListParagraph"/>
        <w:numPr>
          <w:ilvl w:val="0"/>
          <w:numId w:val="4"/>
        </w:numPr>
        <w:spacing w:after="60" w:before="40"/>
      </w:pPr>
      <w:r>
        <w:rPr>
          <w:rFonts w:ascii="Arial" w:cs="Arial" w:eastAsia="Arial" w:hAnsi="Arial"/>
          <w:b/>
          <w:bCs/>
          <w:color w:val="000000"/>
          <w:sz w:val="20"/>
          <w:szCs w:val="20"/>
        </w:rPr>
        <w:t xml:space="preserve">Sex Offender Registry Search: </w:t>
      </w:r>
      <w:r>
        <w:rPr>
          <w:rFonts w:ascii="Arial" w:cs="Arial" w:eastAsia="Arial" w:hAnsi="Arial"/>
          <w:color w:val="000000"/>
          <w:sz w:val="20"/>
          <w:szCs w:val="20"/>
        </w:rPr>
        <w:t xml:space="preserve">Search of national and state sex offender registries.</w:t>
      </w:r>
    </w:p>
    <w:p>
      <w:pPr>
        <w:pStyle w:val="ListParagraph"/>
        <w:numPr>
          <w:ilvl w:val="0"/>
          <w:numId w:val="4"/>
        </w:numPr>
        <w:spacing w:after="60" w:before="40"/>
      </w:pPr>
      <w:r>
        <w:rPr>
          <w:rFonts w:ascii="Arial" w:cs="Arial" w:eastAsia="Arial" w:hAnsi="Arial"/>
          <w:b/>
          <w:bCs/>
          <w:color w:val="000000"/>
          <w:sz w:val="20"/>
          <w:szCs w:val="20"/>
        </w:rPr>
        <w:t xml:space="preserve">Global Watchlist Search: </w:t>
      </w:r>
      <w:r>
        <w:rPr>
          <w:rFonts w:ascii="Arial" w:cs="Arial" w:eastAsia="Arial" w:hAnsi="Arial"/>
          <w:color w:val="000000"/>
          <w:sz w:val="20"/>
          <w:szCs w:val="20"/>
        </w:rPr>
        <w:t xml:space="preserve">Search of domestic and international sanction lists, including OFAC, FBI, and Interpol watchlists.</w:t>
      </w:r>
    </w:p>
    <w:p>
      <w:pPr>
        <w:pStyle w:val="ListParagraph"/>
        <w:numPr>
          <w:ilvl w:val="0"/>
          <w:numId w:val="4"/>
        </w:numPr>
        <w:spacing w:after="60" w:before="40"/>
      </w:pPr>
      <w:r>
        <w:rPr>
          <w:rFonts w:ascii="Arial" w:cs="Arial" w:eastAsia="Arial" w:hAnsi="Arial"/>
          <w:b/>
          <w:bCs/>
          <w:color w:val="000000"/>
          <w:sz w:val="20"/>
          <w:szCs w:val="20"/>
        </w:rPr>
        <w:t xml:space="preserve">National Criminal Search: </w:t>
      </w:r>
      <w:r>
        <w:rPr>
          <w:rFonts w:ascii="Arial" w:cs="Arial" w:eastAsia="Arial" w:hAnsi="Arial"/>
          <w:color w:val="000000"/>
          <w:sz w:val="20"/>
          <w:szCs w:val="20"/>
        </w:rPr>
        <w:t xml:space="preserve">Search of national criminal database records.</w:t>
      </w:r>
    </w:p>
    <w:p>
      <w:pPr>
        <w:pStyle w:val="ListParagraph"/>
        <w:numPr>
          <w:ilvl w:val="0"/>
          <w:numId w:val="4"/>
        </w:numPr>
        <w:spacing w:after="60" w:before="40"/>
      </w:pPr>
      <w:r>
        <w:rPr>
          <w:rFonts w:ascii="Arial" w:cs="Arial" w:eastAsia="Arial" w:hAnsi="Arial"/>
          <w:b/>
          <w:bCs/>
          <w:color w:val="000000"/>
          <w:sz w:val="20"/>
          <w:szCs w:val="20"/>
        </w:rPr>
        <w:t xml:space="preserve">County Criminal Search: </w:t>
      </w:r>
      <w:r>
        <w:rPr>
          <w:rFonts w:ascii="Arial" w:cs="Arial" w:eastAsia="Arial" w:hAnsi="Arial"/>
          <w:color w:val="000000"/>
          <w:sz w:val="20"/>
          <w:szCs w:val="20"/>
        </w:rPr>
        <w:t xml:space="preserve">Search of county courthouse criminal records using a seven (7) year lookback period (except where state law requires a longer period).</w:t>
      </w:r>
    </w:p>
    <w:p>
      <w:pPr>
        <w:pStyle w:val="ListParagraph"/>
        <w:numPr>
          <w:ilvl w:val="0"/>
          <w:numId w:val="4"/>
        </w:numPr>
        <w:spacing w:after="60" w:before="40"/>
      </w:pPr>
      <w:r>
        <w:rPr>
          <w:rFonts w:ascii="Arial" w:cs="Arial" w:eastAsia="Arial" w:hAnsi="Arial"/>
          <w:b/>
          <w:bCs/>
          <w:color w:val="000000"/>
          <w:sz w:val="20"/>
          <w:szCs w:val="20"/>
        </w:rPr>
        <w:t xml:space="preserve">Federal Criminal Search: </w:t>
      </w:r>
      <w:r>
        <w:rPr>
          <w:rFonts w:ascii="Arial" w:cs="Arial" w:eastAsia="Arial" w:hAnsi="Arial"/>
          <w:color w:val="000000"/>
          <w:sz w:val="20"/>
          <w:szCs w:val="20"/>
        </w:rPr>
        <w:t xml:space="preserve">Search of federal district court criminal records.</w:t>
      </w:r>
    </w:p>
    <w:p>
      <w:pPr>
        <w:pStyle w:val="ListParagraph"/>
        <w:numPr>
          <w:ilvl w:val="0"/>
          <w:numId w:val="4"/>
        </w:numPr>
        <w:spacing w:after="60" w:before="40"/>
      </w:pPr>
      <w:r>
        <w:rPr>
          <w:rFonts w:ascii="Arial" w:cs="Arial" w:eastAsia="Arial" w:hAnsi="Arial"/>
          <w:b/>
          <w:bCs/>
          <w:color w:val="000000"/>
          <w:sz w:val="20"/>
          <w:szCs w:val="20"/>
        </w:rPr>
        <w:t xml:space="preserve">Motor Vehicle Records (MVR): </w:t>
      </w:r>
      <w:r>
        <w:rPr>
          <w:rFonts w:ascii="Arial" w:cs="Arial" w:eastAsia="Arial" w:hAnsi="Arial"/>
          <w:color w:val="000000"/>
          <w:sz w:val="20"/>
          <w:szCs w:val="20"/>
        </w:rPr>
        <w:t xml:space="preserve">As applicable to driving-related task categories, a review of state DMV records.</w:t>
      </w:r>
    </w:p>
    <w:p>
      <w:pPr>
        <w:spacing w:after="60" w:before="120"/>
      </w:pPr>
    </w:p>
    <w:p>
      <w:pPr>
        <w:spacing w:after="100" w:before="240"/>
      </w:pPr>
      <w:r>
        <w:rPr>
          <w:rFonts w:ascii="Arial" w:cs="Arial" w:eastAsia="Arial" w:hAnsi="Arial"/>
          <w:b/>
          <w:bCs/>
          <w:color w:val="1B2A4A"/>
          <w:sz w:val="21"/>
          <w:szCs w:val="21"/>
        </w:rPr>
        <w:t xml:space="preserve">Checkr Privacy Policy Acknowledgment</w:t>
      </w:r>
    </w:p>
    <w:p>
      <w:pPr>
        <w:spacing w:after="200" w:before="0"/>
        <w:jc w:val="left"/>
      </w:pPr>
      <w:r>
        <w:rPr>
          <w:rFonts w:ascii="Arial" w:cs="Arial" w:eastAsia="Arial" w:hAnsi="Arial"/>
          <w:color w:val="000000"/>
          <w:sz w:val="20"/>
          <w:szCs w:val="20"/>
        </w:rPr>
        <w:t xml:space="preserve">I confirm that I have reviewed and acknowledge Checkr’s Privacy Policy, available at https://checkr.com/privacy-policy. I understand how Checkr collects, uses, and stores my personal information in connection with conducting background checks.</w:t>
      </w:r>
    </w:p>
    <w:p>
      <w:pPr>
        <w:spacing w:after="200" w:before="0"/>
        <w:jc w:val="left"/>
      </w:pPr>
      <w:r>
        <w:rPr>
          <w:rFonts w:ascii="Arial" w:cs="Arial" w:eastAsia="Arial" w:hAnsi="Arial"/>
          <w:color w:val="000000"/>
          <w:sz w:val="20"/>
          <w:szCs w:val="20"/>
        </w:rPr>
        <w:t xml:space="preserve">I further authorize any person, entity, educational institution, court, law enforcement agency, or other organization to disclose to Checkr any and all information they may have regarding me that is relevant to the searches described above. This authorization shall continue in full force and effect until revoked in writing.</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A8" w:sz="4"/>
              <w:left w:val="single" w:color="2D5FA8" w:sz="4"/>
              <w:bottom w:val="single" w:color="2D5FA8" w:sz="4"/>
              <w:right w:val="single" w:color="2D5FA8" w:sz="4"/>
            </w:tcBorders>
            <w:shd w:fill="D8E6F8" w:val="clear"/>
            <w:tcMar>
              <w:top w:type="dxa" w:w="120"/>
              <w:left w:type="dxa" w:w="160"/>
              <w:bottom w:type="dxa" w:w="120"/>
              <w:right w:type="dxa" w:w="160"/>
            </w:tcMar>
          </w:tcPr>
          <w:p>
            <w:pPr>
              <w:spacing w:after="0" w:before="0"/>
            </w:pPr>
            <w:r>
              <w:rPr>
                <w:rFonts w:ascii="Arial" w:cs="Arial" w:eastAsia="Arial" w:hAnsi="Arial"/>
                <w:b/>
                <w:bCs/>
                <w:color w:val="1B2A4A"/>
                <w:sz w:val="20"/>
                <w:szCs w:val="20"/>
              </w:rPr>
              <w:t xml:space="preserve">Beta Program Note: </w:t>
            </w:r>
            <w:r>
              <w:rPr>
                <w:rFonts w:ascii="Arial" w:cs="Arial" w:eastAsia="Arial" w:hAnsi="Arial"/>
                <w:color w:val="000000"/>
                <w:sz w:val="20"/>
                <w:szCs w:val="20"/>
              </w:rPr>
              <w:t xml:space="preserve">As of the date of this form, HustleXP’s integration with Checkr’s API is pending final authorization from Checkr. During the beta period, background checks may be conducted manually or through an alternative FCRA-compliant process. All rights and obligations described herein apply regardless of the specific mechanism used to conduct the background check.</w:t>
            </w:r>
          </w:p>
        </w:tc>
      </w:tr>
    </w:tbl>
    <w:p>
      <w:pPr>
        <w:spacing w:after="6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D — PLATFORM DISQUALIFICATION CRITERIA</w:t>
            </w:r>
          </w:p>
        </w:tc>
      </w:tr>
    </w:tbl>
    <w:p>
      <w:pPr>
        <w:spacing w:after="60" w:before="160"/>
      </w:pPr>
    </w:p>
    <w:p>
      <w:pPr>
        <w:spacing w:after="200" w:before="0"/>
        <w:jc w:val="left"/>
      </w:pPr>
      <w:r>
        <w:rPr>
          <w:rFonts w:ascii="Arial" w:cs="Arial" w:eastAsia="Arial" w:hAnsi="Arial"/>
          <w:color w:val="000000"/>
          <w:sz w:val="20"/>
          <w:szCs w:val="20"/>
        </w:rPr>
        <w:t xml:space="preserve">HustleXP applies a task-category-tiered review framework for assessing background check results in compliance with applicable federal and state law, including Equal Employment Opportunity Commission (EEOC) guidance on individualized assessment (Enforcement Guidance on the Consideration of Arrest and Conviction Records in Employment Decisions, April 2012), applicable ban-the-box ordinances, and the California Fair Chance Act, where applicable.</w:t>
      </w:r>
    </w:p>
    <w:p>
      <w:pPr>
        <w:spacing w:after="200" w:before="0"/>
        <w:jc w:val="left"/>
      </w:pPr>
      <w:r>
        <w:rPr>
          <w:rFonts w:ascii="Arial" w:cs="Arial" w:eastAsia="Arial" w:hAnsi="Arial"/>
          <w:color w:val="000000"/>
          <w:sz w:val="20"/>
          <w:szCs w:val="20"/>
        </w:rPr>
        <w:t xml:space="preserve">Background check results are used solely to determine access to task categories on the Platform. The Platform’s determinations are not employment decisions; however, the Platform has adopted EEOC-aligned individualized assessment standards as a best practice.</w:t>
      </w:r>
    </w:p>
    <w:p>
      <w:pPr>
        <w:spacing w:after="60" w:before="100"/>
      </w:pPr>
    </w:p>
    <w:p>
      <w:pPr>
        <w:spacing w:after="100" w:before="240"/>
      </w:pPr>
      <w:r>
        <w:rPr>
          <w:rFonts w:ascii="Arial" w:cs="Arial" w:eastAsia="Arial" w:hAnsi="Arial"/>
          <w:b/>
          <w:bCs/>
          <w:color w:val="1B2A4A"/>
          <w:sz w:val="21"/>
          <w:szCs w:val="21"/>
        </w:rPr>
        <w:t xml:space="preserve">High-Risk Task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BEAEA" w:val="clear"/>
            <w:tcMar>
              <w:top w:type="dxa" w:w="120"/>
              <w:left w:type="dxa" w:w="160"/>
              <w:bottom w:type="dxa" w:w="120"/>
              <w:right w:type="dxa" w:w="160"/>
            </w:tcMar>
          </w:tcPr>
          <w:p>
            <w:pPr>
              <w:spacing w:after="80" w:before="0"/>
            </w:pPr>
            <w:r>
              <w:rPr>
                <w:rFonts w:ascii="Arial" w:cs="Arial" w:eastAsia="Arial" w:hAnsi="Arial"/>
                <w:b/>
                <w:bCs/>
                <w:color w:val="C0392B"/>
                <w:sz w:val="20"/>
                <w:szCs w:val="20"/>
              </w:rPr>
              <w:t xml:space="preserve">Task Categories Included: In-home services, childcare, elder care, and care of vulnerable adults</w:t>
            </w:r>
          </w:p>
          <w:p>
            <w:pPr>
              <w:spacing w:after="60" w:before="0"/>
            </w:pPr>
            <w:r>
              <w:rPr>
                <w:rFonts w:ascii="Arial" w:cs="Arial" w:eastAsia="Arial" w:hAnsi="Arial"/>
                <w:color w:val="000000"/>
                <w:sz w:val="20"/>
                <w:szCs w:val="20"/>
              </w:rPr>
              <w:t xml:space="preserve">The following convictions will result in automatic disqualification from High-Risk task categories:</w:t>
            </w:r>
          </w:p>
          <w:p>
            <w:pPr>
              <w:pStyle w:val="ListParagraph"/>
              <w:numPr>
                <w:ilvl w:val="0"/>
                <w:numId w:val="5"/>
              </w:numPr>
              <w:spacing w:after="60" w:before="40"/>
            </w:pPr>
            <w:r>
              <w:rPr>
                <w:rFonts w:ascii="Arial" w:cs="Arial" w:eastAsia="Arial" w:hAnsi="Arial"/>
                <w:color w:val="000000"/>
                <w:sz w:val="20"/>
                <w:szCs w:val="20"/>
              </w:rPr>
              <w:t xml:space="preserve">Any felony conviction involving violence, assault, battery, or use of a deadly weapon within the preceding ten (10) years.</w:t>
            </w:r>
          </w:p>
          <w:p>
            <w:pPr>
              <w:pStyle w:val="ListParagraph"/>
              <w:numPr>
                <w:ilvl w:val="0"/>
                <w:numId w:val="5"/>
              </w:numPr>
              <w:spacing w:after="60" w:before="40"/>
            </w:pPr>
            <w:r>
              <w:rPr>
                <w:rFonts w:ascii="Arial" w:cs="Arial" w:eastAsia="Arial" w:hAnsi="Arial"/>
                <w:color w:val="000000"/>
                <w:sz w:val="20"/>
                <w:szCs w:val="20"/>
              </w:rPr>
              <w:t xml:space="preserve">Any conviction for theft, fraud, financial exploitation, or financial crimes within the preceding seven (7) years.</w:t>
            </w:r>
          </w:p>
          <w:p>
            <w:pPr>
              <w:pStyle w:val="ListParagraph"/>
              <w:numPr>
                <w:ilvl w:val="0"/>
                <w:numId w:val="5"/>
              </w:numPr>
              <w:spacing w:after="60" w:before="40"/>
            </w:pPr>
            <w:r>
              <w:rPr>
                <w:rFonts w:ascii="Arial" w:cs="Arial" w:eastAsia="Arial" w:hAnsi="Arial"/>
                <w:color w:val="000000"/>
                <w:sz w:val="20"/>
                <w:szCs w:val="20"/>
              </w:rPr>
              <w:t xml:space="preserve">Any conviction for a sexual offense, including those requiring registration on a sex offender registry, with no time limitation.</w:t>
            </w:r>
          </w:p>
          <w:p>
            <w:pPr>
              <w:pStyle w:val="ListParagraph"/>
              <w:numPr>
                <w:ilvl w:val="0"/>
                <w:numId w:val="5"/>
              </w:numPr>
              <w:spacing w:after="60" w:before="40"/>
            </w:pPr>
            <w:r>
              <w:rPr>
                <w:rFonts w:ascii="Arial" w:cs="Arial" w:eastAsia="Arial" w:hAnsi="Arial"/>
                <w:color w:val="000000"/>
                <w:sz w:val="20"/>
                <w:szCs w:val="20"/>
              </w:rPr>
              <w:t xml:space="preserve">Any conviction related to child endangerment, child abuse, or domestic violence, with no time limitation.</w:t>
            </w:r>
          </w:p>
          <w:p>
            <w:pPr>
              <w:pStyle w:val="ListParagraph"/>
              <w:numPr>
                <w:ilvl w:val="0"/>
                <w:numId w:val="5"/>
              </w:numPr>
              <w:spacing w:after="60" w:before="40"/>
            </w:pPr>
            <w:r>
              <w:rPr>
                <w:rFonts w:ascii="Arial" w:cs="Arial" w:eastAsia="Arial" w:hAnsi="Arial"/>
                <w:color w:val="000000"/>
                <w:sz w:val="20"/>
                <w:szCs w:val="20"/>
              </w:rPr>
              <w:t xml:space="preserve">Any active outstanding warrants or pending felony charges.</w:t>
            </w:r>
          </w:p>
        </w:tc>
      </w:tr>
    </w:tbl>
    <w:p>
      <w:pPr>
        <w:spacing w:after="60" w:before="120"/>
      </w:pPr>
    </w:p>
    <w:p>
      <w:pPr>
        <w:spacing w:after="100" w:before="240"/>
      </w:pPr>
      <w:r>
        <w:rPr>
          <w:rFonts w:ascii="Arial" w:cs="Arial" w:eastAsia="Arial" w:hAnsi="Arial"/>
          <w:b/>
          <w:bCs/>
          <w:color w:val="1B2A4A"/>
          <w:sz w:val="21"/>
          <w:szCs w:val="21"/>
        </w:rPr>
        <w:t xml:space="preserve">Medium-Risk Task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4"/>
              <w:left w:val="single" w:color="E8A000" w:sz="4"/>
              <w:bottom w:val="single" w:color="E8A000" w:sz="4"/>
              <w:right w:val="single" w:color="E8A000" w:sz="4"/>
            </w:tcBorders>
            <w:shd w:fill="FFFBEB" w:val="clear"/>
            <w:tcMar>
              <w:top w:type="dxa" w:w="120"/>
              <w:left w:type="dxa" w:w="160"/>
              <w:bottom w:type="dxa" w:w="120"/>
              <w:right w:type="dxa" w:w="160"/>
            </w:tcMar>
          </w:tcPr>
          <w:p>
            <w:pPr>
              <w:spacing w:after="80" w:before="0"/>
            </w:pPr>
            <w:r>
              <w:rPr>
                <w:rFonts w:ascii="Arial" w:cs="Arial" w:eastAsia="Arial" w:hAnsi="Arial"/>
                <w:b/>
                <w:bCs/>
                <w:color w:val="7A5400"/>
                <w:sz w:val="20"/>
                <w:szCs w:val="20"/>
              </w:rPr>
              <w:t xml:space="preserve">Task Categories Included: General outdoor tasks, delivery, moving assistance, and other non-residential tasks</w:t>
            </w:r>
          </w:p>
          <w:p>
            <w:pPr>
              <w:spacing w:after="60" w:before="0"/>
            </w:pPr>
            <w:r>
              <w:rPr>
                <w:rFonts w:ascii="Arial" w:cs="Arial" w:eastAsia="Arial" w:hAnsi="Arial"/>
                <w:color w:val="000000"/>
                <w:sz w:val="20"/>
                <w:szCs w:val="20"/>
              </w:rPr>
              <w:t xml:space="preserve">Disqualification is not automatic for Medium-Risk task categories. The Platform applies an individualized assessment considering the following factors:</w:t>
            </w:r>
          </w:p>
          <w:p>
            <w:pPr>
              <w:pStyle w:val="ListParagraph"/>
              <w:numPr>
                <w:ilvl w:val="0"/>
                <w:numId w:val="6"/>
              </w:numPr>
              <w:spacing w:after="60" w:before="40"/>
            </w:pPr>
            <w:r>
              <w:rPr>
                <w:rFonts w:ascii="Arial" w:cs="Arial" w:eastAsia="Arial" w:hAnsi="Arial"/>
                <w:b/>
                <w:bCs/>
                <w:color w:val="000000"/>
                <w:sz w:val="20"/>
                <w:szCs w:val="20"/>
              </w:rPr>
              <w:t xml:space="preserve">Nature and Gravity of the Offense: </w:t>
            </w:r>
            <w:r>
              <w:rPr>
                <w:rFonts w:ascii="Arial" w:cs="Arial" w:eastAsia="Arial" w:hAnsi="Arial"/>
                <w:color w:val="000000"/>
                <w:sz w:val="20"/>
                <w:szCs w:val="20"/>
              </w:rPr>
              <w:t xml:space="preserve">The specific conduct underlying the conviction, its relationship to the task category, and the potential harm.</w:t>
            </w:r>
          </w:p>
          <w:p>
            <w:pPr>
              <w:pStyle w:val="ListParagraph"/>
              <w:numPr>
                <w:ilvl w:val="0"/>
                <w:numId w:val="6"/>
              </w:numPr>
              <w:spacing w:after="60" w:before="40"/>
            </w:pPr>
            <w:r>
              <w:rPr>
                <w:rFonts w:ascii="Arial" w:cs="Arial" w:eastAsia="Arial" w:hAnsi="Arial"/>
                <w:b/>
                <w:bCs/>
                <w:color w:val="000000"/>
                <w:sz w:val="20"/>
                <w:szCs w:val="20"/>
              </w:rPr>
              <w:t xml:space="preserve">Time Elapsed: </w:t>
            </w:r>
            <w:r>
              <w:rPr>
                <w:rFonts w:ascii="Arial" w:cs="Arial" w:eastAsia="Arial" w:hAnsi="Arial"/>
                <w:color w:val="000000"/>
                <w:sz w:val="20"/>
                <w:szCs w:val="20"/>
              </w:rPr>
              <w:t xml:space="preserve">The time since the conviction and/or completion of sentence, including probation and parole.</w:t>
            </w:r>
          </w:p>
          <w:p>
            <w:pPr>
              <w:pStyle w:val="ListParagraph"/>
              <w:numPr>
                <w:ilvl w:val="0"/>
                <w:numId w:val="6"/>
              </w:numPr>
              <w:spacing w:after="60" w:before="40"/>
            </w:pPr>
            <w:r>
              <w:rPr>
                <w:rFonts w:ascii="Arial" w:cs="Arial" w:eastAsia="Arial" w:hAnsi="Arial"/>
                <w:b/>
                <w:bCs/>
                <w:color w:val="000000"/>
                <w:sz w:val="20"/>
                <w:szCs w:val="20"/>
              </w:rPr>
              <w:t xml:space="preserve">Evidence of Rehabilitation: </w:t>
            </w:r>
            <w:r>
              <w:rPr>
                <w:rFonts w:ascii="Arial" w:cs="Arial" w:eastAsia="Arial" w:hAnsi="Arial"/>
                <w:color w:val="000000"/>
                <w:sz w:val="20"/>
                <w:szCs w:val="20"/>
              </w:rPr>
              <w:t xml:space="preserve">Employment history, community involvement, completion of rehabilitative programs, and character references.</w:t>
            </w:r>
          </w:p>
          <w:p>
            <w:pPr>
              <w:pStyle w:val="ListParagraph"/>
              <w:numPr>
                <w:ilvl w:val="0"/>
                <w:numId w:val="6"/>
              </w:numPr>
              <w:spacing w:after="60" w:before="40"/>
            </w:pPr>
            <w:r>
              <w:rPr>
                <w:rFonts w:ascii="Arial" w:cs="Arial" w:eastAsia="Arial" w:hAnsi="Arial"/>
                <w:b/>
                <w:bCs/>
                <w:color w:val="000000"/>
                <w:sz w:val="20"/>
                <w:szCs w:val="20"/>
              </w:rPr>
              <w:t xml:space="preserve">Nature of the Task: </w:t>
            </w:r>
            <w:r>
              <w:rPr>
                <w:rFonts w:ascii="Arial" w:cs="Arial" w:eastAsia="Arial" w:hAnsi="Arial"/>
                <w:color w:val="000000"/>
                <w:sz w:val="20"/>
                <w:szCs w:val="20"/>
              </w:rPr>
              <w:t xml:space="preserve">The specific duties, access to customer property, and level of independent operation involved in the task category.</w:t>
            </w:r>
          </w:p>
        </w:tc>
      </w:tr>
    </w:tbl>
    <w:p>
      <w:pPr>
        <w:spacing w:after="60" w:before="100"/>
      </w:pPr>
    </w:p>
    <w:p>
      <w:pPr>
        <w:spacing w:after="200" w:before="0"/>
        <w:jc w:val="left"/>
      </w:pPr>
      <w:r>
        <w:rPr>
          <w:rFonts w:ascii="Arial" w:cs="Arial" w:eastAsia="Arial" w:hAnsi="Arial"/>
          <w:color w:val="000000"/>
          <w:sz w:val="20"/>
          <w:szCs w:val="20"/>
        </w:rPr>
        <w:t xml:space="preserve">In jurisdictions where applicable law requires individualized assessment before taking adverse action based on a conviction record (including but not limited to California, New York City, and other ban-the-box jurisdictions), the Platform will conduct such individualized assessment as required before making any final access determination.</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E — ADVERSE ACTION PROCESS</w:t>
            </w:r>
          </w:p>
        </w:tc>
      </w:tr>
    </w:tbl>
    <w:p>
      <w:pPr>
        <w:spacing w:after="60" w:before="160"/>
      </w:pPr>
    </w:p>
    <w:p>
      <w:pPr>
        <w:spacing w:after="200" w:before="0"/>
        <w:jc w:val="left"/>
      </w:pPr>
      <w:r>
        <w:rPr>
          <w:rFonts w:ascii="Arial" w:cs="Arial" w:eastAsia="Arial" w:hAnsi="Arial"/>
          <w:color w:val="000000"/>
          <w:sz w:val="20"/>
          <w:szCs w:val="20"/>
        </w:rPr>
        <w:t xml:space="preserve">If HustleXP intends to take adverse action against you (i.e., deny or limit your access to task categories) based in whole or in part on information contained in a consumer report, the Platform will follow the process required by the FCRA, 15 U.S.C. § 1681b(b)(3), and applicable state law:</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2D5FA8" w:sz="4"/>
              <w:left w:val="single" w:color="2D5FA8" w:sz="4"/>
              <w:bottom w:val="single" w:color="2D5FA8" w:sz="4"/>
              <w:right w:val="single" w:color="2D5FA8" w:sz="4"/>
            </w:tcBorders>
            <w:shd w:fill="D8E6F8" w:val="clear"/>
            <w:tcMar>
              <w:top w:type="dxa" w:w="100"/>
              <w:left w:type="dxa" w:w="160"/>
              <w:bottom w:type="dxa" w:w="100"/>
              <w:right w:type="dxa" w:w="160"/>
            </w:tcMar>
            <w:vAlign w:val="center"/>
          </w:tcPr>
          <w:p>
            <w:pPr>
              <w:spacing w:after="0" w:before="0"/>
              <w:jc w:val="center"/>
            </w:pPr>
            <w:r>
              <w:rPr>
                <w:rFonts w:ascii="Arial" w:cs="Arial" w:eastAsia="Arial" w:hAnsi="Arial"/>
                <w:b/>
                <w:bCs/>
                <w:color w:val="1B2A4A"/>
                <w:sz w:val="22"/>
                <w:szCs w:val="22"/>
              </w:rPr>
              <w:t xml:space="preserve">Step 1</w:t>
            </w:r>
          </w:p>
        </w:tc>
        <w:tc>
          <w:tcPr>
            <w:tcW w:type="dxa" w:w="84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40" w:before="0"/>
            </w:pPr>
            <w:r>
              <w:rPr>
                <w:rFonts w:ascii="Arial" w:cs="Arial" w:eastAsia="Arial" w:hAnsi="Arial"/>
                <w:b/>
                <w:bCs/>
                <w:color w:val="000000"/>
                <w:sz w:val="20"/>
                <w:szCs w:val="20"/>
              </w:rPr>
              <w:t xml:space="preserve">Pre-Adverse Action Notice</w:t>
            </w:r>
          </w:p>
          <w:p>
            <w:pPr>
              <w:spacing w:after="0" w:before="0"/>
            </w:pPr>
            <w:r>
              <w:rPr>
                <w:rFonts w:ascii="Arial" w:cs="Arial" w:eastAsia="Arial" w:hAnsi="Arial"/>
                <w:color w:val="000000"/>
                <w:sz w:val="20"/>
                <w:szCs w:val="20"/>
              </w:rPr>
              <w:t xml:space="preserve">HustleXP will provide you with written notice of its intent to take adverse action, along with: (a) a copy of the consumer report that was used in making the decision; and (b) a written summary of your rights under the FCRA.</w:t>
            </w:r>
          </w:p>
        </w:tc>
      </w:tr>
      <w:tr>
        <w:tc>
          <w:tcPr>
            <w:tcW w:type="dxa" w:w="900"/>
            <w:tcBorders>
              <w:top w:val="single" w:color="2D5FA8" w:sz="4"/>
              <w:left w:val="single" w:color="2D5FA8" w:sz="4"/>
              <w:bottom w:val="single" w:color="2D5FA8" w:sz="4"/>
              <w:right w:val="single" w:color="2D5FA8" w:sz="4"/>
            </w:tcBorders>
            <w:shd w:fill="D8E6F8" w:val="clear"/>
            <w:tcMar>
              <w:top w:type="dxa" w:w="100"/>
              <w:left w:type="dxa" w:w="160"/>
              <w:bottom w:type="dxa" w:w="100"/>
              <w:right w:type="dxa" w:w="160"/>
            </w:tcMar>
            <w:vAlign w:val="center"/>
          </w:tcPr>
          <w:p>
            <w:pPr>
              <w:spacing w:after="0" w:before="0"/>
              <w:jc w:val="center"/>
            </w:pPr>
            <w:r>
              <w:rPr>
                <w:rFonts w:ascii="Arial" w:cs="Arial" w:eastAsia="Arial" w:hAnsi="Arial"/>
                <w:b/>
                <w:bCs/>
                <w:color w:val="1B2A4A"/>
                <w:sz w:val="22"/>
                <w:szCs w:val="22"/>
              </w:rPr>
              <w:t xml:space="preserve">Step 2</w:t>
            </w:r>
          </w:p>
        </w:tc>
        <w:tc>
          <w:tcPr>
            <w:tcW w:type="dxa" w:w="84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40" w:before="0"/>
            </w:pPr>
            <w:r>
              <w:rPr>
                <w:rFonts w:ascii="Arial" w:cs="Arial" w:eastAsia="Arial" w:hAnsi="Arial"/>
                <w:b/>
                <w:bCs/>
                <w:color w:val="000000"/>
                <w:sz w:val="20"/>
                <w:szCs w:val="20"/>
              </w:rPr>
              <w:t xml:space="preserve">Candidate Review &amp; Dispute Period</w:t>
            </w:r>
          </w:p>
          <w:p>
            <w:pPr>
              <w:spacing w:after="0" w:before="0"/>
            </w:pPr>
            <w:r>
              <w:rPr>
                <w:rFonts w:ascii="Arial" w:cs="Arial" w:eastAsia="Arial" w:hAnsi="Arial"/>
                <w:color w:val="000000"/>
                <w:sz w:val="20"/>
                <w:szCs w:val="20"/>
              </w:rPr>
              <w:t xml:space="preserve">You will have five (5) business days following receipt of the pre-adverse action notice to review the consumer report, dispute any inaccurate or incomplete information with Checkr, Inc., and/or provide documentation of rehabilitation, mitigating circumstances, or other relevant information to HustleXP at legal@hustlexp.com.</w:t>
            </w:r>
          </w:p>
        </w:tc>
      </w:tr>
      <w:tr>
        <w:tc>
          <w:tcPr>
            <w:tcW w:type="dxa" w:w="900"/>
            <w:tcBorders>
              <w:top w:val="single" w:color="2D5FA8" w:sz="4"/>
              <w:left w:val="single" w:color="2D5FA8" w:sz="4"/>
              <w:bottom w:val="single" w:color="2D5FA8" w:sz="4"/>
              <w:right w:val="single" w:color="2D5FA8" w:sz="4"/>
            </w:tcBorders>
            <w:shd w:fill="D8E6F8" w:val="clear"/>
            <w:tcMar>
              <w:top w:type="dxa" w:w="100"/>
              <w:left w:type="dxa" w:w="160"/>
              <w:bottom w:type="dxa" w:w="100"/>
              <w:right w:type="dxa" w:w="160"/>
            </w:tcMar>
            <w:vAlign w:val="center"/>
          </w:tcPr>
          <w:p>
            <w:pPr>
              <w:spacing w:after="0" w:before="0"/>
              <w:jc w:val="center"/>
            </w:pPr>
            <w:r>
              <w:rPr>
                <w:rFonts w:ascii="Arial" w:cs="Arial" w:eastAsia="Arial" w:hAnsi="Arial"/>
                <w:b/>
                <w:bCs/>
                <w:color w:val="1B2A4A"/>
                <w:sz w:val="22"/>
                <w:szCs w:val="22"/>
              </w:rPr>
              <w:t xml:space="preserve">Step 3</w:t>
            </w:r>
          </w:p>
        </w:tc>
        <w:tc>
          <w:tcPr>
            <w:tcW w:type="dxa" w:w="84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pPr>
              <w:spacing w:after="40" w:before="0"/>
            </w:pPr>
            <w:r>
              <w:rPr>
                <w:rFonts w:ascii="Arial" w:cs="Arial" w:eastAsia="Arial" w:hAnsi="Arial"/>
                <w:b/>
                <w:bCs/>
                <w:color w:val="000000"/>
                <w:sz w:val="20"/>
                <w:szCs w:val="20"/>
              </w:rPr>
              <w:t xml:space="preserve">Final Adverse Action Notice</w:t>
            </w:r>
          </w:p>
          <w:p>
            <w:pPr>
              <w:spacing w:after="0" w:before="0"/>
            </w:pPr>
            <w:r>
              <w:rPr>
                <w:rFonts w:ascii="Arial" w:cs="Arial" w:eastAsia="Arial" w:hAnsi="Arial"/>
                <w:color w:val="000000"/>
                <w:sz w:val="20"/>
                <w:szCs w:val="20"/>
              </w:rPr>
              <w:t xml:space="preserve">If the Platform’s decision remains unchanged after the review period, HustleXP will provide you with a final adverse action notice including: (a) notice of the action taken; (b) the name, address, and phone number of Checkr, Inc.; (c) a statement that Checkr did not make the adverse decision; and (d) a statement of your right to obtain a free copy of the report and dispute its accuracy.</w:t>
            </w:r>
          </w:p>
        </w:tc>
      </w:tr>
    </w:tbl>
    <w:p>
      <w:pPr>
        <w:spacing w:after="60" w:before="120"/>
      </w:pPr>
    </w:p>
    <w:p>
      <w:pPr>
        <w:spacing w:after="200" w:before="0"/>
        <w:jc w:val="left"/>
      </w:pPr>
      <w:r>
        <w:rPr>
          <w:rFonts w:ascii="Arial" w:cs="Arial" w:eastAsia="Arial" w:hAnsi="Arial"/>
          <w:color w:val="000000"/>
          <w:sz w:val="20"/>
          <w:szCs w:val="20"/>
        </w:rPr>
        <w:t xml:space="preserve">Nothing in this adverse action process waives any rights you may have under applicable state or local law. Jurisdictions with more protective adverse action requirements may require additional steps or longer review periods.</w:t>
      </w:r>
    </w:p>
    <w:p>
      <w:pPr>
        <w:spacing w:after="6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F — SUPPLEMENTAL INTERVIEW CONSENT</w:t>
            </w:r>
          </w:p>
        </w:tc>
      </w:tr>
    </w:tbl>
    <w:p>
      <w:pPr>
        <w:spacing w:after="60" w:before="160"/>
      </w:pPr>
    </w:p>
    <w:p>
      <w:pPr>
        <w:spacing w:after="200" w:before="0"/>
        <w:jc w:val="left"/>
      </w:pPr>
      <w:r>
        <w:rPr>
          <w:rFonts w:ascii="Arial" w:cs="Arial" w:eastAsia="Arial" w:hAnsi="Arial"/>
          <w:color w:val="000000"/>
          <w:sz w:val="20"/>
          <w:szCs w:val="20"/>
        </w:rPr>
        <w:t xml:space="preserve">In addition to the automated background check described above, HustleXP beta participants may be selected for a supplemental screening interview for purposes of identity verification, supplemental risk assessment, and evaluation of beta program suitability. Selection for a supplemental interview is based on task categories applied for, availability, and platform risk tiers.</w:t>
      </w:r>
    </w:p>
    <w:p>
      <w:pPr>
        <w:spacing w:after="100" w:before="240"/>
      </w:pPr>
      <w:r>
        <w:rPr>
          <w:rFonts w:ascii="Arial" w:cs="Arial" w:eastAsia="Arial" w:hAnsi="Arial"/>
          <w:b/>
          <w:bCs/>
          <w:color w:val="1B2A4A"/>
          <w:sz w:val="21"/>
          <w:szCs w:val="21"/>
        </w:rPr>
        <w:t xml:space="preserve">Interview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4F6F9"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Format</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Video call or in-person meeting with a HustleXP compliance representative</w:t>
            </w:r>
          </w:p>
        </w:tc>
      </w:tr>
      <w:tr>
        <w:tc>
          <w:tcPr>
            <w:tcW w:type="dxa" w:w="2400"/>
            <w:tcBorders>
              <w:top w:val="single" w:color="E2E8F0" w:sz="4"/>
              <w:left w:val="single" w:color="E2E8F0" w:sz="4"/>
              <w:bottom w:val="single" w:color="E2E8F0" w:sz="4"/>
              <w:right w:val="single" w:color="E2E8F0" w:sz="4"/>
            </w:tcBorders>
            <w:shd w:fill="F4F6F9"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Duration</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Approximately 20–30 minutes</w:t>
            </w:r>
          </w:p>
        </w:tc>
      </w:tr>
      <w:tr>
        <w:tc>
          <w:tcPr>
            <w:tcW w:type="dxa" w:w="2400"/>
            <w:tcBorders>
              <w:top w:val="single" w:color="E2E8F0" w:sz="4"/>
              <w:left w:val="single" w:color="E2E8F0" w:sz="4"/>
              <w:bottom w:val="single" w:color="E2E8F0" w:sz="4"/>
              <w:right w:val="single" w:color="E2E8F0" w:sz="4"/>
            </w:tcBorders>
            <w:shd w:fill="F4F6F9"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Purpose</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Identity verification, supplemental risk assessment, beta program suitability evaluation</w:t>
            </w:r>
          </w:p>
        </w:tc>
      </w:tr>
      <w:tr>
        <w:tc>
          <w:tcPr>
            <w:tcW w:type="dxa" w:w="2400"/>
            <w:tcBorders>
              <w:top w:val="single" w:color="E2E8F0" w:sz="4"/>
              <w:left w:val="single" w:color="E2E8F0" w:sz="4"/>
              <w:bottom w:val="single" w:color="E2E8F0" w:sz="4"/>
              <w:right w:val="single" w:color="E2E8F0" w:sz="4"/>
            </w:tcBorders>
            <w:shd w:fill="F4F6F9" w:val="clear"/>
            <w:tcMar>
              <w:top w:type="dxa" w:w="80"/>
              <w:left w:type="dxa" w:w="120"/>
              <w:bottom w:type="dxa" w:w="80"/>
              <w:right w:type="dxa" w:w="120"/>
            </w:tcMar>
          </w:tcPr>
          <w:p>
            <w:pPr>
              <w:spacing w:after="0" w:before="0"/>
            </w:pPr>
            <w:r>
              <w:rPr>
                <w:rFonts w:ascii="Arial" w:cs="Arial" w:eastAsia="Arial" w:hAnsi="Arial"/>
                <w:b/>
                <w:bCs/>
                <w:color w:val="000000"/>
                <w:sz w:val="20"/>
                <w:szCs w:val="20"/>
              </w:rPr>
              <w:t xml:space="preserve">Topics Covered</w:t>
            </w:r>
          </w:p>
        </w:tc>
        <w:tc>
          <w:tcPr>
            <w:tcW w:type="dxa" w:w="69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0" w:before="0"/>
            </w:pPr>
            <w:r>
              <w:rPr>
                <w:rFonts w:ascii="Arial" w:cs="Arial" w:eastAsia="Arial" w:hAnsi="Arial"/>
                <w:color w:val="000000"/>
                <w:sz w:val="20"/>
                <w:szCs w:val="20"/>
              </w:rPr>
              <w:t xml:space="preserve">Work history, relevant skills, task category experience, knowledge of Platform rules and conduct standards</w:t>
            </w:r>
          </w:p>
        </w:tc>
      </w:tr>
    </w:tbl>
    <w:p>
      <w:pPr>
        <w:spacing w:after="60" w:before="140"/>
      </w:pPr>
    </w:p>
    <w:p>
      <w:pPr>
        <w:spacing w:after="100" w:before="240"/>
      </w:pPr>
      <w:r>
        <w:rPr>
          <w:rFonts w:ascii="Arial" w:cs="Arial" w:eastAsia="Arial" w:hAnsi="Arial"/>
          <w:b/>
          <w:bCs/>
          <w:color w:val="1B2A4A"/>
          <w:sz w:val="21"/>
          <w:szCs w:val="21"/>
        </w:rPr>
        <w:t xml:space="preserve">Consent to Recording and Use of Interview Information</w:t>
      </w:r>
    </w:p>
    <w:p>
      <w:pPr>
        <w:spacing w:after="120" w:before="0"/>
        <w:jc w:val="left"/>
      </w:pPr>
      <w:r>
        <w:rPr>
          <w:rFonts w:ascii="Arial" w:cs="Arial" w:eastAsia="Arial" w:hAnsi="Arial"/>
          <w:color w:val="000000"/>
          <w:sz w:val="20"/>
          <w:szCs w:val="20"/>
        </w:rPr>
        <w:t xml:space="preserve">By signing this form, I consent to and acknowledge the following regarding any supplemental interview:</w:t>
      </w:r>
    </w:p>
    <w:p>
      <w:pPr>
        <w:spacing w:after="40" w:before="60"/>
      </w:pPr>
    </w:p>
    <w:p>
      <w:pPr>
        <w:pStyle w:val="ListParagraph"/>
        <w:numPr>
          <w:ilvl w:val="0"/>
          <w:numId w:val="7"/>
        </w:numPr>
        <w:spacing w:after="60" w:before="40"/>
      </w:pPr>
      <w:r>
        <w:rPr>
          <w:rFonts w:ascii="Arial" w:cs="Arial" w:eastAsia="Arial" w:hAnsi="Arial"/>
          <w:color w:val="000000"/>
          <w:sz w:val="20"/>
          <w:szCs w:val="20"/>
        </w:rPr>
        <w:t xml:space="preserve">I consent to participate in a video call or in-person interview conducted by a HustleXP compliance representative.</w:t>
      </w:r>
    </w:p>
    <w:p>
      <w:pPr>
        <w:pStyle w:val="ListParagraph"/>
        <w:numPr>
          <w:ilvl w:val="0"/>
          <w:numId w:val="7"/>
        </w:numPr>
        <w:spacing w:after="60" w:before="40"/>
      </w:pPr>
      <w:r>
        <w:rPr>
          <w:rFonts w:ascii="Arial" w:cs="Arial" w:eastAsia="Arial" w:hAnsi="Arial"/>
          <w:color w:val="000000"/>
          <w:sz w:val="20"/>
          <w:szCs w:val="20"/>
        </w:rPr>
        <w:t xml:space="preserve">I consent to HustleXP recording the interview session for internal compliance and verification purposes.</w:t>
      </w:r>
    </w:p>
    <w:p>
      <w:pPr>
        <w:pStyle w:val="ListParagraph"/>
        <w:numPr>
          <w:ilvl w:val="0"/>
          <w:numId w:val="7"/>
        </w:numPr>
        <w:spacing w:after="60" w:before="40"/>
      </w:pPr>
      <w:r>
        <w:rPr>
          <w:rFonts w:ascii="Arial" w:cs="Arial" w:eastAsia="Arial" w:hAnsi="Arial"/>
          <w:color w:val="000000"/>
          <w:sz w:val="20"/>
          <w:szCs w:val="20"/>
        </w:rPr>
        <w:t xml:space="preserve">I authorize HustleXP to use written notes and summaries derived from the interview (but not audio or video recordings themselves) in making task category access decisions.</w:t>
      </w:r>
    </w:p>
    <w:p>
      <w:pPr>
        <w:pStyle w:val="ListParagraph"/>
        <w:numPr>
          <w:ilvl w:val="0"/>
          <w:numId w:val="7"/>
        </w:numPr>
        <w:spacing w:after="60" w:before="40"/>
      </w:pPr>
      <w:r>
        <w:rPr>
          <w:rFonts w:ascii="Arial" w:cs="Arial" w:eastAsia="Arial" w:hAnsi="Arial"/>
          <w:color w:val="000000"/>
          <w:sz w:val="20"/>
          <w:szCs w:val="20"/>
        </w:rPr>
        <w:t xml:space="preserve">I understand that the supplemental interview is NOT an employment interview and does not create, and will not be construed to create, an employment relationship between me and HustleXP Inc.</w:t>
      </w:r>
    </w:p>
    <w:p>
      <w:pPr>
        <w:pStyle w:val="ListParagraph"/>
        <w:numPr>
          <w:ilvl w:val="0"/>
          <w:numId w:val="7"/>
        </w:numPr>
        <w:spacing w:after="60" w:before="40"/>
      </w:pPr>
      <w:r>
        <w:rPr>
          <w:rFonts w:ascii="Arial" w:cs="Arial" w:eastAsia="Arial" w:hAnsi="Arial"/>
          <w:color w:val="000000"/>
          <w:sz w:val="20"/>
          <w:szCs w:val="20"/>
        </w:rPr>
        <w:t xml:space="preserve">I understand that participation in the supplemental interview is voluntary; however, completion of the interview may be required before I am granted access to certain High-Risk task categories on the Platform.</w:t>
      </w:r>
    </w:p>
    <w:p>
      <w:pPr>
        <w:pStyle w:val="ListParagraph"/>
        <w:numPr>
          <w:ilvl w:val="0"/>
          <w:numId w:val="7"/>
        </w:numPr>
        <w:spacing w:after="60" w:before="40"/>
      </w:pPr>
      <w:r>
        <w:rPr>
          <w:rFonts w:ascii="Arial" w:cs="Arial" w:eastAsia="Arial" w:hAnsi="Arial"/>
          <w:color w:val="000000"/>
          <w:sz w:val="20"/>
          <w:szCs w:val="20"/>
        </w:rPr>
        <w:t xml:space="preserve">I understand that making false or materially misleading statements during the supplemental interview may result in immediate account suspension, permanent disqualification from the Platform, and forfeiture of any pending earnings, to the extent permitted by applicable law.</w:t>
      </w:r>
    </w:p>
    <w:p>
      <w:pPr>
        <w:pStyle w:val="ListParagraph"/>
        <w:numPr>
          <w:ilvl w:val="0"/>
          <w:numId w:val="7"/>
        </w:numPr>
        <w:spacing w:after="60" w:before="40"/>
      </w:pPr>
      <w:r>
        <w:rPr>
          <w:rFonts w:ascii="Arial" w:cs="Arial" w:eastAsia="Arial" w:hAnsi="Arial"/>
          <w:color w:val="000000"/>
          <w:sz w:val="20"/>
          <w:szCs w:val="20"/>
        </w:rPr>
        <w:t xml:space="preserve">I understand that interview recordings and notes are maintained as confidential compliance records and are not shared with Posters (clients) on the Platform.</w:t>
      </w:r>
    </w:p>
    <w:p>
      <w:pPr>
        <w:pStyle w:val="ListParagraph"/>
        <w:numPr>
          <w:ilvl w:val="0"/>
          <w:numId w:val="7"/>
        </w:numPr>
        <w:spacing w:after="60" w:before="40"/>
      </w:pPr>
      <w:r>
        <w:rPr>
          <w:rFonts w:ascii="Arial" w:cs="Arial" w:eastAsia="Arial" w:hAnsi="Arial"/>
          <w:color w:val="000000"/>
          <w:sz w:val="20"/>
          <w:szCs w:val="20"/>
        </w:rPr>
        <w:t xml:space="preserve">I understand that interview recordings are retained for a period not to exceed three (3) years following the termination of my account with the Platform, after which they will be securely destroyed.</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SECTION G — CANDIDATE RIGHTS SUMMARY</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5FA8" w:sz="4"/>
              <w:left w:val="single" w:color="2D5FA8" w:sz="4"/>
              <w:bottom w:val="single" w:color="2D5FA8" w:sz="4"/>
              <w:right w:val="single" w:color="2D5FA8" w:sz="4"/>
            </w:tcBorders>
            <w:shd w:fill="D8E6F8" w:val="clear"/>
            <w:tcMar>
              <w:top w:type="dxa" w:w="120"/>
              <w:left w:type="dxa" w:w="160"/>
              <w:bottom w:type="dxa" w:w="120"/>
              <w:right w:type="dxa" w:w="160"/>
            </w:tcMar>
          </w:tcPr>
          <w:p>
            <w:pPr>
              <w:spacing w:after="80" w:before="0"/>
            </w:pPr>
            <w:r>
              <w:rPr>
                <w:rFonts w:ascii="Arial" w:cs="Arial" w:eastAsia="Arial" w:hAnsi="Arial"/>
                <w:b/>
                <w:bCs/>
                <w:color w:val="1B2A4A"/>
                <w:sz w:val="21"/>
                <w:szCs w:val="21"/>
              </w:rPr>
              <w:t xml:space="preserve">Summary of Your Rights</w:t>
            </w:r>
          </w:p>
          <w:p>
            <w:pPr>
              <w:pStyle w:val="ListParagraph"/>
              <w:numPr>
                <w:ilvl w:val="0"/>
                <w:numId w:val="8"/>
              </w:numPr>
              <w:spacing w:after="60" w:before="40"/>
            </w:pPr>
            <w:r>
              <w:rPr>
                <w:rFonts w:ascii="Arial" w:cs="Arial" w:eastAsia="Arial" w:hAnsi="Arial"/>
                <w:b/>
                <w:bCs/>
                <w:color w:val="000000"/>
                <w:sz w:val="20"/>
                <w:szCs w:val="20"/>
              </w:rPr>
              <w:t xml:space="preserve">Right to Obtain a Free Copy of Your Background Report: </w:t>
            </w:r>
            <w:r>
              <w:rPr>
                <w:rFonts w:ascii="Arial" w:cs="Arial" w:eastAsia="Arial" w:hAnsi="Arial"/>
                <w:color w:val="000000"/>
                <w:sz w:val="20"/>
                <w:szCs w:val="20"/>
              </w:rPr>
              <w:t xml:space="preserve">You may request a free copy of your consumer report from Checkr within 60 days of any adverse action taken against your account.</w:t>
            </w:r>
          </w:p>
          <w:p>
            <w:pPr>
              <w:pStyle w:val="ListParagraph"/>
              <w:numPr>
                <w:ilvl w:val="0"/>
                <w:numId w:val="8"/>
              </w:numPr>
              <w:spacing w:after="60" w:before="40"/>
            </w:pPr>
            <w:r>
              <w:rPr>
                <w:rFonts w:ascii="Arial" w:cs="Arial" w:eastAsia="Arial" w:hAnsi="Arial"/>
                <w:b/>
                <w:bCs/>
                <w:color w:val="000000"/>
                <w:sz w:val="20"/>
                <w:szCs w:val="20"/>
              </w:rPr>
              <w:t xml:space="preserve">Right to Dispute Inaccurate Information: </w:t>
            </w:r>
            <w:r>
              <w:rPr>
                <w:rFonts w:ascii="Arial" w:cs="Arial" w:eastAsia="Arial" w:hAnsi="Arial"/>
                <w:color w:val="000000"/>
                <w:sz w:val="20"/>
                <w:szCs w:val="20"/>
              </w:rPr>
              <w:t xml:space="preserve">You may dispute inaccurate or incomplete information in your consumer report directly with Checkr, Inc. at www.checkr.com or by calling (844) 824-3257.</w:t>
            </w:r>
          </w:p>
          <w:p>
            <w:pPr>
              <w:pStyle w:val="ListParagraph"/>
              <w:numPr>
                <w:ilvl w:val="0"/>
                <w:numId w:val="8"/>
              </w:numPr>
              <w:spacing w:after="60" w:before="40"/>
            </w:pPr>
            <w:r>
              <w:rPr>
                <w:rFonts w:ascii="Arial" w:cs="Arial" w:eastAsia="Arial" w:hAnsi="Arial"/>
                <w:b/>
                <w:bCs/>
                <w:color w:val="000000"/>
                <w:sz w:val="20"/>
                <w:szCs w:val="20"/>
              </w:rPr>
              <w:t xml:space="preserve">Right to Know If Information Was Used: </w:t>
            </w:r>
            <w:r>
              <w:rPr>
                <w:rFonts w:ascii="Arial" w:cs="Arial" w:eastAsia="Arial" w:hAnsi="Arial"/>
                <w:color w:val="000000"/>
                <w:sz w:val="20"/>
                <w:szCs w:val="20"/>
              </w:rPr>
              <w:t xml:space="preserve">You have the right to know if information in your background report was used in making a task category access decision.</w:t>
            </w:r>
          </w:p>
          <w:p>
            <w:pPr>
              <w:pStyle w:val="ListParagraph"/>
              <w:numPr>
                <w:ilvl w:val="0"/>
                <w:numId w:val="8"/>
              </w:numPr>
              <w:spacing w:after="60" w:before="40"/>
            </w:pPr>
            <w:r>
              <w:rPr>
                <w:rFonts w:ascii="Arial" w:cs="Arial" w:eastAsia="Arial" w:hAnsi="Arial"/>
                <w:b/>
                <w:bCs/>
                <w:color w:val="000000"/>
                <w:sz w:val="20"/>
                <w:szCs w:val="20"/>
              </w:rPr>
              <w:t xml:space="preserve">Right to a Pre-Adverse Action Review Period: </w:t>
            </w:r>
            <w:r>
              <w:rPr>
                <w:rFonts w:ascii="Arial" w:cs="Arial" w:eastAsia="Arial" w:hAnsi="Arial"/>
                <w:color w:val="000000"/>
                <w:sz w:val="20"/>
                <w:szCs w:val="20"/>
              </w:rPr>
              <w:t xml:space="preserve">Before any final adverse action is taken, you will have at least five (5) business days to review the report and respond.</w:t>
            </w:r>
          </w:p>
          <w:p>
            <w:pPr>
              <w:pStyle w:val="ListParagraph"/>
              <w:numPr>
                <w:ilvl w:val="0"/>
                <w:numId w:val="8"/>
              </w:numPr>
              <w:spacing w:after="60" w:before="40"/>
            </w:pPr>
            <w:r>
              <w:rPr>
                <w:rFonts w:ascii="Arial" w:cs="Arial" w:eastAsia="Arial" w:hAnsi="Arial"/>
                <w:b/>
                <w:bCs/>
                <w:color w:val="000000"/>
                <w:sz w:val="20"/>
                <w:szCs w:val="20"/>
              </w:rPr>
              <w:t xml:space="preserve">Right to Revoke Authorization: </w:t>
            </w:r>
            <w:r>
              <w:rPr>
                <w:rFonts w:ascii="Arial" w:cs="Arial" w:eastAsia="Arial" w:hAnsi="Arial"/>
                <w:color w:val="000000"/>
                <w:sz w:val="20"/>
                <w:szCs w:val="20"/>
              </w:rPr>
              <w:t xml:space="preserve">You may revoke your authorization for future background checks at any time by written notice to legal@hustlexp.com; however, revocation will not affect reports already obtained and may affect your eligibility for certain task categories.</w:t>
            </w:r>
          </w:p>
          <w:p>
            <w:pPr>
              <w:pStyle w:val="ListParagraph"/>
              <w:numPr>
                <w:ilvl w:val="0"/>
                <w:numId w:val="8"/>
              </w:numPr>
              <w:spacing w:after="60" w:before="40"/>
            </w:pPr>
            <w:r>
              <w:rPr>
                <w:rFonts w:ascii="Arial" w:cs="Arial" w:eastAsia="Arial" w:hAnsi="Arial"/>
                <w:b/>
                <w:bCs/>
                <w:color w:val="000000"/>
                <w:sz w:val="20"/>
                <w:szCs w:val="20"/>
              </w:rPr>
              <w:t xml:space="preserve">Right to Contact Regulatory Authorities: </w:t>
            </w:r>
            <w:r>
              <w:rPr>
                <w:rFonts w:ascii="Arial" w:cs="Arial" w:eastAsia="Arial" w:hAnsi="Arial"/>
                <w:color w:val="000000"/>
                <w:sz w:val="20"/>
                <w:szCs w:val="20"/>
              </w:rPr>
              <w:t xml:space="preserve">You may file a complaint with the Consumer Financial Protection Bureau (CFPB) at www.consumerfinance.gov or 1-855-411-2372, or with the Federal Trade Commission (FTC) at www.ftc.gov.</w:t>
            </w:r>
          </w:p>
        </w:tc>
      </w:tr>
    </w:tbl>
    <w:p>
      <w:pPr>
        <w:spacing w:after="60" w:before="120"/>
      </w:pPr>
    </w:p>
    <w:p>
      <w:pPr>
        <w:spacing w:after="100" w:before="240"/>
      </w:pPr>
      <w:r>
        <w:rPr>
          <w:rFonts w:ascii="Arial" w:cs="Arial" w:eastAsia="Arial" w:hAnsi="Arial"/>
          <w:b/>
          <w:bCs/>
          <w:color w:val="1B2A4A"/>
          <w:sz w:val="21"/>
          <w:szCs w:val="21"/>
        </w:rPr>
        <w:t xml:space="preserve">Contact Information for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D5FA8" w:sz="4"/>
              <w:left w:val="single" w:color="2D5FA8" w:sz="4"/>
              <w:bottom w:val="single" w:color="2D5FA8" w:sz="4"/>
              <w:right w:val="single" w:color="2D5FA8" w:sz="4"/>
            </w:tcBorders>
            <w:shd w:fill="D8E6F8" w:val="clear"/>
            <w:tcMar>
              <w:top w:type="dxa" w:w="100"/>
              <w:left w:type="dxa" w:w="140"/>
              <w:bottom w:type="dxa" w:w="100"/>
              <w:right w:type="dxa" w:w="140"/>
            </w:tcMar>
          </w:tcPr>
          <w:p>
            <w:pPr>
              <w:spacing w:after="40" w:before="0"/>
              <w:jc w:val="center"/>
            </w:pPr>
            <w:r>
              <w:rPr>
                <w:rFonts w:ascii="Arial" w:cs="Arial" w:eastAsia="Arial" w:hAnsi="Arial"/>
                <w:b/>
                <w:bCs/>
                <w:color w:val="1B2A4A"/>
                <w:sz w:val="20"/>
                <w:szCs w:val="20"/>
              </w:rPr>
              <w:t xml:space="preserve">HustleXP Legal</w:t>
            </w:r>
          </w:p>
          <w:p>
            <w:pPr>
              <w:spacing w:after="40" w:before="0"/>
              <w:jc w:val="center"/>
            </w:pPr>
            <w:r>
              <w:rPr>
                <w:rFonts w:ascii="Arial" w:cs="Arial" w:eastAsia="Arial" w:hAnsi="Arial"/>
                <w:color w:val="000000"/>
                <w:sz w:val="20"/>
                <w:szCs w:val="20"/>
              </w:rPr>
              <w:t xml:space="preserve">legal@hustlexp.com</w:t>
            </w:r>
          </w:p>
          <w:p>
            <w:pPr>
              <w:spacing w:after="0" w:before="0"/>
              <w:jc w:val="center"/>
            </w:pPr>
            <w:r>
              <w:rPr>
                <w:rFonts w:ascii="Arial" w:cs="Arial" w:eastAsia="Arial" w:hAnsi="Arial"/>
                <w:color w:val="444444"/>
                <w:sz w:val="18"/>
                <w:szCs w:val="18"/>
              </w:rPr>
              <w:t xml:space="preserve">For questions about this form or your rights</w:t>
            </w:r>
          </w:p>
        </w:tc>
        <w:tc>
          <w:tcPr>
            <w:tcW w:type="dxa" w:w="3120"/>
            <w:tcBorders>
              <w:top w:val="single" w:color="2D5FA8" w:sz="4"/>
              <w:left w:val="single" w:color="2D5FA8" w:sz="4"/>
              <w:bottom w:val="single" w:color="2D5FA8" w:sz="4"/>
              <w:right w:val="single" w:color="2D5FA8" w:sz="4"/>
            </w:tcBorders>
            <w:shd w:fill="D8E6F8" w:val="clear"/>
            <w:tcMar>
              <w:top w:type="dxa" w:w="100"/>
              <w:left w:type="dxa" w:w="140"/>
              <w:bottom w:type="dxa" w:w="100"/>
              <w:right w:type="dxa" w:w="140"/>
            </w:tcMar>
          </w:tcPr>
          <w:p>
            <w:pPr>
              <w:spacing w:after="40" w:before="0"/>
              <w:jc w:val="center"/>
            </w:pPr>
            <w:r>
              <w:rPr>
                <w:rFonts w:ascii="Arial" w:cs="Arial" w:eastAsia="Arial" w:hAnsi="Arial"/>
                <w:b/>
                <w:bCs/>
                <w:color w:val="1B2A4A"/>
                <w:sz w:val="20"/>
                <w:szCs w:val="20"/>
              </w:rPr>
              <w:t xml:space="preserve">Checkr, Inc.</w:t>
            </w:r>
          </w:p>
          <w:p>
            <w:pPr>
              <w:spacing w:after="40" w:before="0"/>
              <w:jc w:val="center"/>
            </w:pPr>
            <w:r>
              <w:rPr>
                <w:rFonts w:ascii="Arial" w:cs="Arial" w:eastAsia="Arial" w:hAnsi="Arial"/>
                <w:color w:val="000000"/>
                <w:sz w:val="20"/>
                <w:szCs w:val="20"/>
              </w:rPr>
              <w:t xml:space="preserve">(844) 824-3257</w:t>
            </w:r>
          </w:p>
          <w:p>
            <w:pPr>
              <w:spacing w:after="0" w:before="0"/>
              <w:jc w:val="center"/>
            </w:pPr>
            <w:r>
              <w:rPr>
                <w:rFonts w:ascii="Arial" w:cs="Arial" w:eastAsia="Arial" w:hAnsi="Arial"/>
                <w:color w:val="444444"/>
                <w:sz w:val="18"/>
                <w:szCs w:val="18"/>
              </w:rPr>
              <w:t xml:space="preserve">For disputes about your consumer report</w:t>
            </w:r>
          </w:p>
        </w:tc>
        <w:tc>
          <w:tcPr>
            <w:tcW w:type="dxa" w:w="3120"/>
            <w:tcBorders>
              <w:top w:val="single" w:color="2D5FA8" w:sz="4"/>
              <w:left w:val="single" w:color="2D5FA8" w:sz="4"/>
              <w:bottom w:val="single" w:color="2D5FA8" w:sz="4"/>
              <w:right w:val="single" w:color="2D5FA8" w:sz="4"/>
            </w:tcBorders>
            <w:shd w:fill="D8E6F8" w:val="clear"/>
            <w:tcMar>
              <w:top w:type="dxa" w:w="100"/>
              <w:left w:type="dxa" w:w="140"/>
              <w:bottom w:type="dxa" w:w="100"/>
              <w:right w:type="dxa" w:w="140"/>
            </w:tcMar>
          </w:tcPr>
          <w:p>
            <w:pPr>
              <w:spacing w:after="40" w:before="0"/>
              <w:jc w:val="center"/>
            </w:pPr>
            <w:r>
              <w:rPr>
                <w:rFonts w:ascii="Arial" w:cs="Arial" w:eastAsia="Arial" w:hAnsi="Arial"/>
                <w:b/>
                <w:bCs/>
                <w:color w:val="1B2A4A"/>
                <w:sz w:val="20"/>
                <w:szCs w:val="20"/>
              </w:rPr>
              <w:t xml:space="preserve">CFPB</w:t>
            </w:r>
          </w:p>
          <w:p>
            <w:pPr>
              <w:spacing w:after="40" w:before="0"/>
              <w:jc w:val="center"/>
            </w:pPr>
            <w:r>
              <w:rPr>
                <w:rFonts w:ascii="Arial" w:cs="Arial" w:eastAsia="Arial" w:hAnsi="Arial"/>
                <w:color w:val="000000"/>
                <w:sz w:val="20"/>
                <w:szCs w:val="20"/>
              </w:rPr>
              <w:t xml:space="preserve">1-855-411-2372</w:t>
            </w:r>
          </w:p>
          <w:p>
            <w:pPr>
              <w:spacing w:after="0" w:before="0"/>
              <w:jc w:val="center"/>
            </w:pPr>
            <w:r>
              <w:rPr>
                <w:rFonts w:ascii="Arial" w:cs="Arial" w:eastAsia="Arial" w:hAnsi="Arial"/>
                <w:color w:val="444444"/>
                <w:sz w:val="18"/>
                <w:szCs w:val="18"/>
              </w:rPr>
              <w:t xml:space="preserve">For FCRA violations and complaints</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pPr>
              <w:spacing w:after="0" w:before="0"/>
            </w:pPr>
            <w:r>
              <w:rPr>
                <w:rFonts w:ascii="Arial" w:cs="Arial" w:eastAsia="Arial" w:hAnsi="Arial"/>
                <w:b/>
                <w:bCs/>
                <w:color w:val="FFFFFF"/>
                <w:sz w:val="22"/>
                <w:szCs w:val="22"/>
              </w:rPr>
              <w:t xml:space="preserve">SIGNATURE BLOCK — CANDIDATE AUTHORIZATION &amp; CONSENT</w:t>
            </w:r>
          </w:p>
        </w:tc>
      </w:tr>
    </w:tbl>
    <w:p>
      <w:pPr>
        <w:spacing w:after="6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BEAEA" w:val="clear"/>
            <w:tcMar>
              <w:top w:type="dxa" w:w="120"/>
              <w:left w:type="dxa" w:w="160"/>
              <w:bottom w:type="dxa" w:w="120"/>
              <w:right w:type="dxa" w:w="160"/>
            </w:tcMar>
          </w:tcPr>
          <w:p>
            <w:pPr>
              <w:spacing w:after="0" w:before="0"/>
              <w:jc w:val="center"/>
            </w:pPr>
            <w:r>
              <w:rPr>
                <w:rFonts w:ascii="Arial" w:cs="Arial" w:eastAsia="Arial" w:hAnsi="Arial"/>
                <w:b/>
                <w:bCs/>
                <w:color w:val="C0392B"/>
                <w:sz w:val="21"/>
                <w:szCs w:val="21"/>
              </w:rPr>
              <w:t xml:space="preserve">IMPORTANT: </w:t>
            </w:r>
            <w:r>
              <w:rPr>
                <w:rFonts w:ascii="Arial" w:cs="Arial" w:eastAsia="Arial" w:hAnsi="Arial"/>
                <w:b/>
                <w:bCs/>
                <w:color w:val="C0392B"/>
                <w:sz w:val="21"/>
                <w:szCs w:val="21"/>
              </w:rPr>
              <w:t xml:space="preserve">This form is for background check purposes only. HustleXP is a technology marketplace, not an employer. This authorization does not create an employment relationship.</w:t>
            </w:r>
          </w:p>
        </w:tc>
      </w:tr>
    </w:tbl>
    <w:p>
      <w:pPr>
        <w:spacing w:after="60" w:before="140"/>
      </w:pPr>
    </w:p>
    <w:p>
      <w:pPr>
        <w:spacing w:after="200" w:before="0"/>
        <w:jc w:val="left"/>
      </w:pPr>
      <w:r>
        <w:rPr>
          <w:rFonts w:ascii="Arial" w:cs="Arial" w:eastAsia="Arial" w:hAnsi="Arial"/>
          <w:color w:val="000000"/>
          <w:sz w:val="20"/>
          <w:szCs w:val="20"/>
        </w:rPr>
        <w:t xml:space="preserve">By signing below, I certify that I have read and understood all sections of this Background Check Authorization &amp; Supplemental Interview Consent Form, including the FCRA Disclosure in Section A, the Background Check Authorization in Section B, the Checkr Candidate Authorization in Section C, the Platform Disqualification Criteria in Section D, the Adverse Action Process in Section E, the Supplemental Interview Consent in Section F, and the Candidate Rights Summary in Section G.</w:t>
      </w:r>
    </w:p>
    <w:p>
      <w:pPr>
        <w:spacing w:after="200" w:before="0"/>
        <w:jc w:val="left"/>
      </w:pPr>
      <w:r>
        <w:rPr>
          <w:rFonts w:ascii="Arial" w:cs="Arial" w:eastAsia="Arial" w:hAnsi="Arial"/>
          <w:color w:val="000000"/>
          <w:sz w:val="20"/>
          <w:szCs w:val="20"/>
        </w:rPr>
        <w:t xml:space="preserve">I further certify that all information I have provided or will provide in connection with my application to the HustleXP Platform is true, accurate, and complete to the best of my knowledge. I understand that false or misleading information may result in denial or revocation of Platform access.</w:t>
      </w:r>
    </w:p>
    <w:p>
      <w:pPr>
        <w:spacing w:after="60" w:before="120"/>
      </w:pPr>
    </w:p>
    <w:p>
      <w:pPr>
        <w:spacing w:after="100" w:before="240"/>
      </w:pPr>
      <w:r>
        <w:rPr>
          <w:rFonts w:ascii="Arial" w:cs="Arial" w:eastAsia="Arial" w:hAnsi="Arial"/>
          <w:b/>
          <w:bCs/>
          <w:color w:val="1B2A4A"/>
          <w:sz w:val="21"/>
          <w:szCs w:val="21"/>
        </w:rPr>
        <w:t xml:space="preserve">Candidate Information</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gridCol w:w="0"/>
      </w:tblGrid>
      <w:tr>
        <w:tc>
          <w:tcPr>
            <w:tcW w:type="dxa" w:w="936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Full Legal Name (Print):</w:t>
            </w:r>
          </w:p>
        </w:tc>
        <w:tc>
          <w:tcPr>
            <w:tcW w:type="dxa" w:w="0"/>
            <w:tcBorders>
              <w:top w:val="none" w:color="FFFFFF" w:sz="0"/>
              <w:left w:val="none" w:color="FFFFFF" w:sz="0"/>
              <w:bottom w:val="none" w:color="FFFFFF" w:sz="0"/>
              <w:right w:val="none" w:color="FFFFFF" w:sz="0"/>
            </w:tcBorders>
          </w:tcP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Date of Birth (MM/DD/YYYY):</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Last 4 Digits of SSN (for matching only):</w:t>
            </w: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gridCol w:w="0"/>
      </w:tblGrid>
      <w:tr>
        <w:tc>
          <w:tcPr>
            <w:tcW w:type="dxa" w:w="936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Email Address:</w:t>
            </w:r>
          </w:p>
        </w:tc>
        <w:tc>
          <w:tcPr>
            <w:tcW w:type="dxa" w:w="0"/>
            <w:tcBorders>
              <w:top w:val="none" w:color="FFFFFF" w:sz="0"/>
              <w:left w:val="none" w:color="FFFFFF" w:sz="0"/>
              <w:bottom w:val="none" w:color="FFFFFF" w:sz="0"/>
              <w:right w:val="none" w:color="FFFFFF" w:sz="0"/>
            </w:tcBorders>
          </w:tcP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Phone Number:</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Current Address:</w:t>
            </w: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2160"/>
      </w:tblGrid>
      <w:tr>
        <w:tc>
          <w:tcPr>
            <w:tcW w:type="dxa" w:w="30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City:</w:t>
            </w:r>
          </w:p>
        </w:tc>
        <w:tc>
          <w:tcPr>
            <w:tcW w:type="dxa" w:w="36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State: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2160"/>
        <w:gridCol w:w="360"/>
        <w:gridCol w:w="3480"/>
      </w:tblGrid>
      <w:tr>
        <w:tc>
          <w:tcPr>
            <w:tcW w:type="dxa" w:w="3000"/>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Pr>
          <w:p/>
        </w:tc>
        <w:tc>
          <w:tcPr>
            <w:tcW w:type="dxa" w:w="360"/>
            <w:tcBorders>
              <w:top w:val="none" w:color="FFFFFF" w:sz="0"/>
              <w:left w:val="none" w:color="FFFFFF" w:sz="0"/>
              <w:bottom w:val="none" w:color="FFFFFF" w:sz="0"/>
              <w:right w:val="none" w:color="FFFFFF" w:sz="0"/>
            </w:tcBorders>
          </w:tcPr>
          <w:p/>
        </w:tc>
        <w:tc>
          <w:tcPr>
            <w:tcW w:type="dxa" w:w="348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0" w:before="0"/>
            </w:pPr>
            <w:r>
              <w:rPr>
                <w:rFonts w:ascii="Arial" w:cs="Arial" w:eastAsia="Arial" w:hAnsi="Arial"/>
                <w:color w:val="444444"/>
                <w:sz w:val="18"/>
                <w:szCs w:val="18"/>
              </w:rPr>
              <w:t xml:space="preserve">ZIP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
        <w:gridCol w:w="2160"/>
        <w:gridCol w:w="360"/>
        <w:gridCol w:w="3480"/>
      </w:tblGrid>
      <w:tr>
        <w:tc>
          <w:tcPr>
            <w:tcW w:type="dxa" w:w="3000"/>
            <w:tcBorders>
              <w:top w:val="none" w:color="FFFFFF" w:sz="0"/>
              <w:left w:val="none" w:color="FFFFFF" w:sz="0"/>
              <w:bottom w:val="none" w:color="FFFFFF" w:sz="0"/>
              <w:right w:val="none" w:color="FFFFFF" w:sz="0"/>
            </w:tcBorders>
          </w:tcPr>
          <w:p>
            <w:pPr>
              <w:pBdr>
                <w:bottom w:val="single" w:color="555555" w:sz="6"/>
              </w:pBdr>
              <w:spacing w:after="0" w:before="0"/>
            </w:pPr>
            <w:r>
              <w:rPr>
                <w:rFonts w:ascii="Arial" w:cs="Arial" w:eastAsia="Arial" w:hAnsi="Arial"/>
                <w:color w:val="444444"/>
                <w:sz w:val="18"/>
                <w:szCs w:val="18"/>
              </w:rPr>
              <w:t xml:space="preserve"/>
            </w:r>
          </w:p>
        </w:tc>
        <w:tc>
          <w:tcPr>
            <w:tcW w:type="dxa" w:w="36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tcPr>
          <w:p>
            <w:pPr>
              <w:pBdr>
                <w:bottom w:val="single" w:color="555555" w:sz="6"/>
              </w:pBdr>
              <w:spacing w:after="0" w:before="0"/>
            </w:pPr>
            <w:r>
              <w:rPr>
                <w:rFonts w:ascii="Arial" w:cs="Arial" w:eastAsia="Arial" w:hAnsi="Arial"/>
                <w:color w:val="444444"/>
                <w:sz w:val="18"/>
                <w:szCs w:val="18"/>
              </w:rPr>
              <w:t xml:space="preserve"/>
            </w:r>
          </w:p>
        </w:tc>
        <w:tc>
          <w:tcPr>
            <w:tcW w:type="dxa" w:w="360"/>
            <w:tcBorders>
              <w:top w:val="none" w:color="FFFFFF" w:sz="0"/>
              <w:left w:val="none" w:color="FFFFFF" w:sz="0"/>
              <w:bottom w:val="none" w:color="FFFFFF" w:sz="0"/>
              <w:right w:val="none" w:color="FFFFFF" w:sz="0"/>
            </w:tcBorders>
          </w:tcPr>
          <w:p/>
        </w:tc>
        <w:tc>
          <w:tcPr>
            <w:tcW w:type="dxa" w:w="3480"/>
            <w:tcBorders>
              <w:top w:val="none" w:color="FFFFFF" w:sz="0"/>
              <w:left w:val="none" w:color="FFFFFF" w:sz="0"/>
              <w:bottom w:val="none" w:color="FFFFFF" w:sz="0"/>
              <w:right w:val="none" w:color="FFFFFF" w:sz="0"/>
            </w:tcBorders>
          </w:tcPr>
          <w:p>
            <w:pPr>
              <w:pBdr>
                <w:bottom w:val="single" w:color="555555" w:sz="6"/>
              </w:pBdr>
              <w:spacing w:after="0" w:before="0"/>
            </w:pPr>
            <w:r>
              <w:rPr>
                <w:rFonts w:ascii="Arial" w:cs="Arial" w:eastAsia="Arial" w:hAnsi="Arial"/>
                <w:color w:val="444444"/>
                <w:sz w:val="18"/>
                <w:szCs w:val="18"/>
              </w:rPr>
              <w:t xml:space="preserve"/>
            </w:r>
          </w:p>
        </w:tc>
      </w:tr>
    </w:tbl>
    <w:p>
      <w:pPr>
        <w:spacing w:after="60" w:before="160"/>
      </w:pPr>
    </w:p>
    <w:p>
      <w:pPr>
        <w:spacing w:after="100" w:before="240"/>
      </w:pPr>
      <w:r>
        <w:rPr>
          <w:rFonts w:ascii="Arial" w:cs="Arial" w:eastAsia="Arial" w:hAnsi="Arial"/>
          <w:b/>
          <w:bCs/>
          <w:color w:val="1B2A4A"/>
          <w:sz w:val="21"/>
          <w:szCs w:val="21"/>
        </w:rPr>
        <w:t xml:space="preserve">Authorization &amp; Consent Signatures</w:t>
      </w:r>
    </w:p>
    <w:p>
      <w:pPr>
        <w:spacing w:after="40" w:before="60"/>
      </w:pPr>
    </w:p>
    <w:p>
      <w:pPr>
        <w:spacing w:after="120" w:before="0"/>
        <w:jc w:val="left"/>
      </w:pPr>
      <w:r>
        <w:rPr>
          <w:rFonts w:ascii="Arial" w:cs="Arial" w:eastAsia="Arial" w:hAnsi="Arial"/>
          <w:color w:val="000000"/>
          <w:sz w:val="20"/>
          <w:szCs w:val="20"/>
        </w:rPr>
        <w:t xml:space="preserve">I authorize the background check and consent to the supplemental interview as described in this form.</w:t>
      </w:r>
    </w:p>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80"/>
        <w:gridCol w:w="360"/>
        <w:gridCol w:w="2520"/>
      </w:tblGrid>
      <w:tr>
        <w:tc>
          <w:tcPr>
            <w:tcW w:type="dxa" w:w="648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Candidate Signature:</w:t>
            </w:r>
          </w:p>
        </w:tc>
        <w:tc>
          <w:tcPr>
            <w:tcW w:type="dxa" w:w="360"/>
            <w:tcBorders>
              <w:top w:val="none" w:color="FFFFFF" w:sz="0"/>
              <w:left w:val="none" w:color="FFFFFF" w:sz="0"/>
              <w:bottom w:val="none" w:color="FFFFFF" w:sz="0"/>
              <w:right w:val="none" w:color="FFFFFF" w:sz="0"/>
            </w:tcBorders>
          </w:tcPr>
          <w:p/>
        </w:tc>
        <w:tc>
          <w:tcPr>
            <w:tcW w:type="dxa" w:w="252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Date:</w:t>
            </w:r>
          </w:p>
        </w:tc>
      </w:tr>
    </w:tbl>
    <w:p>
      <w:pPr>
        <w:spacing w:after="4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gridCol w:w="0"/>
      </w:tblGrid>
      <w:tr>
        <w:tc>
          <w:tcPr>
            <w:tcW w:type="dxa" w:w="936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Candidate Full Legal Name (Print):</w:t>
            </w:r>
          </w:p>
        </w:tc>
        <w:tc>
          <w:tcPr>
            <w:tcW w:type="dxa" w:w="0"/>
            <w:tcBorders>
              <w:top w:val="none" w:color="FFFFFF" w:sz="0"/>
              <w:left w:val="none" w:color="FFFFFF" w:sz="0"/>
              <w:bottom w:val="none" w:color="FFFFFF" w:sz="0"/>
              <w:right w:val="none" w:color="FFFFFF" w:sz="0"/>
            </w:tcBorders>
          </w:tcP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BCD4" w:sz="4"/>
              <w:left w:val="single" w:color="AABCD4" w:sz="4"/>
              <w:bottom w:val="single" w:color="AABCD4" w:sz="4"/>
              <w:right w:val="single" w:color="AABCD4" w:sz="4"/>
            </w:tcBorders>
            <w:shd w:fill="F4F6F9" w:val="clear"/>
            <w:tcMar>
              <w:top w:type="dxa" w:w="120"/>
              <w:left w:type="dxa" w:w="200"/>
              <w:bottom w:type="dxa" w:w="120"/>
              <w:right w:type="dxa" w:w="200"/>
            </w:tcMar>
          </w:tcPr>
          <w:p>
            <w:pPr>
              <w:spacing w:after="60" w:before="0"/>
            </w:pPr>
            <w:r>
              <w:rPr>
                <w:rFonts w:ascii="Arial" w:cs="Arial" w:eastAsia="Arial" w:hAnsi="Arial"/>
                <w:b/>
                <w:bCs/>
                <w:color w:val="1B2A4A"/>
                <w:sz w:val="20"/>
                <w:szCs w:val="20"/>
              </w:rPr>
              <w:t xml:space="preserve">For HustleXP Internal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60"/>
              <w:gridCol w:w="3420"/>
            </w:tblGrid>
            <w:tr>
              <w:tc>
                <w:tcPr>
                  <w:tcW w:type="dxa" w:w="54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Received by (HustleXP Representative):</w:t>
                  </w:r>
                </w:p>
              </w:tc>
              <w:tc>
                <w:tcPr>
                  <w:tcW w:type="dxa" w:w="360"/>
                  <w:tcBorders>
                    <w:top w:val="none" w:color="FFFFFF" w:sz="0"/>
                    <w:left w:val="none" w:color="FFFFFF" w:sz="0"/>
                    <w:bottom w:val="none" w:color="FFFFFF" w:sz="0"/>
                    <w:right w:val="none" w:color="FFFFFF" w:sz="0"/>
                  </w:tcBorders>
                </w:tcPr>
                <w:p/>
              </w:tc>
              <w:tc>
                <w:tcPr>
                  <w:tcW w:type="dxa" w:w="342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Date Received:</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Background Check Ordered (Date):</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Report Received (Date):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Action Taken:</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555555" w:sz="6"/>
                    </w:pBdr>
                    <w:spacing w:after="0" w:before="0"/>
                  </w:pPr>
                  <w:r>
                    <w:rPr>
                      <w:rFonts w:ascii="Arial" w:cs="Arial" w:eastAsia="Arial" w:hAnsi="Arial"/>
                      <w:color w:val="444444"/>
                      <w:sz w:val="18"/>
                      <w:szCs w:val="18"/>
                    </w:rPr>
                    <w:t xml:space="preserve">Date of Final Decision:</w:t>
                  </w:r>
                </w:p>
              </w:tc>
            </w:tr>
          </w:tbl>
          <w:p>
            <w:pPr>
              <w:spacing w:after="40" w:before="80"/>
            </w:pPr>
          </w:p>
          <w:p>
            <w:pPr>
              <w:spacing w:after="0" w:before="0"/>
            </w:pPr>
            <w:r>
              <w:rPr>
                <w:rFonts w:ascii="Arial" w:cs="Arial" w:eastAsia="Arial" w:hAnsi="Arial"/>
                <w:color w:val="444444"/>
                <w:sz w:val="18"/>
                <w:szCs w:val="18"/>
              </w:rPr>
              <w:t xml:space="preserve">This form should be retained in a secure, confidential file separate from any operational records, in accordance with applicable FCRA and state recordkeeping requirements.</w:t>
            </w:r>
          </w:p>
        </w:tc>
      </w:tr>
    </w:tbl>
    <w:p>
      <w:pPr>
        <w:spacing w:after="60" w:before="100"/>
      </w:pPr>
    </w:p>
    <w:p>
      <w:pPr>
        <w:spacing w:after="0" w:before="80"/>
        <w:jc w:val="center"/>
      </w:pPr>
      <w:r>
        <w:rPr>
          <w:rFonts w:ascii="Arial" w:cs="Arial" w:eastAsia="Arial" w:hAnsi="Arial"/>
          <w:i/>
          <w:iCs/>
          <w:color w:val="888888"/>
          <w:sz w:val="16"/>
          <w:szCs w:val="16"/>
        </w:rPr>
        <w:t xml:space="preserve">Form Version 1.0 — Effective March 2026 — HustleXP Inc. — FCRA-Compliant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60"/>
    </w:pPr>
    <w:r>
      <w:rPr>
        <w:rFonts w:ascii="Arial" w:cs="Arial" w:eastAsia="Arial" w:hAnsi="Arial"/>
        <w:color w:val="888888"/>
        <w:sz w:val="16"/>
        <w:szCs w:val="16"/>
      </w:rPr>
      <w:t xml:space="preserve">FCRA-Compliant Form — HustleXP Inc. © 2026  |  legal@hustlexp.com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CONFIDENTIAL — FOR BACKGROUND CHECK PURPOSES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180"/>
            <w:bottom w:type="dxa" w:w="80"/>
            <w:right w:type="dxa" w:w="180"/>
          </w:tcMar>
        </w:tcPr>
        <w:p>
          <w:pPr>
            <w:spacing w:after="0" w:before="0"/>
          </w:pPr>
          <w:r>
            <w:rPr>
              <w:rFonts w:ascii="Arial" w:cs="Arial" w:eastAsia="Arial" w:hAnsi="Arial"/>
              <w:b/>
              <w:bCs/>
              <w:color w:val="FFFFFF"/>
              <w:sz w:val="20"/>
              <w:szCs w:val="20"/>
            </w:rPr>
            <w:t xml:space="preserve">HustleXP Inc.</w:t>
          </w:r>
          <w:r>
            <w:rPr>
              <w:rFonts w:ascii="Arial" w:cs="Arial" w:eastAsia="Arial" w:hAnsi="Arial"/>
              <w:color w:val="AABCD4"/>
              <w:sz w:val="18"/>
              <w:szCs w:val="18"/>
            </w:rPr>
            <w:t xml:space="preserve">   •   Background Check Authorization &amp; Supplemental Interview Consent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abstractNum w:abstractNumId="5" w15:restartNumberingAfterBreak="0">
    <w:multiLevelType w:val="hybridMultilevel"/>
    <w:lvl w:ilvl="0" w15:tentative="1">
      <w:start w:val="1"/>
      <w:numFmt w:val="bullet"/>
      <w:lvlText w:val="•"/>
      <w:lvlJc w:val="left"/>
      <w:pPr>
        <w:ind w:left="540" w:hanging="300"/>
      </w:pPr>
    </w:lvl>
  </w:abstractNum>
  <w:abstractNum w:abstractNumId="6" w15:restartNumberingAfterBreak="0">
    <w:multiLevelType w:val="hybridMultilevel"/>
    <w:lvl w:ilvl="0" w15:tentative="1">
      <w:start w:val="1"/>
      <w:numFmt w:val="bullet"/>
      <w:lvlText w:val="•"/>
      <w:lvlJc w:val="left"/>
      <w:pPr>
        <w:ind w:left="540" w:hanging="300"/>
      </w:pPr>
    </w:lvl>
  </w:abstractNum>
  <w:abstractNum w:abstractNumId="7" w15:restartNumberingAfterBreak="0">
    <w:multiLevelType w:val="hybridMultilevel"/>
    <w:lvl w:ilvl="0" w15:tentative="1">
      <w:start w:val="1"/>
      <w:numFmt w:val="bullet"/>
      <w:lvlText w:val="•"/>
      <w:lvlJc w:val="left"/>
      <w:pPr>
        <w:ind w:left="540" w:hanging="300"/>
      </w:pPr>
    </w:lvl>
  </w:abstractNum>
  <w:abstractNum w:abstractNumId="8" w15:restartNumberingAfterBreak="0">
    <w:multiLevelType w:val="hybridMultilevel"/>
    <w:lvl w:ilvl="0" w15:tentative="1">
      <w:start w:val="1"/>
      <w:numFmt w:val="bullet"/>
      <w:lvlText w:val="•"/>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9m6s0r5tctlfunocfcca" Type="http://schemas.openxmlformats.org/officeDocument/2006/relationships/hyperlink" Target="https://checkr.com" TargetMode="External"/><Relationship Id="rIdndmvzmbhvu5fw5pplh6lp" Type="http://schemas.openxmlformats.org/officeDocument/2006/relationships/hyperlink" Target="https://checkr.com/privacy-policy" TargetMode="Externa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2026-03-15T09:01:36.315Z</dcterms:created>
  <dcterms:modified xsi:type="dcterms:W3CDTF">2026-03-15T09:01:36.316Z</dcterms:modified>
</cp:coreProperties>
</file>

<file path=docProps/custom.xml><?xml version="1.0" encoding="utf-8"?>
<Properties xmlns="http://schemas.openxmlformats.org/officeDocument/2006/custom-properties" xmlns:vt="http://schemas.openxmlformats.org/officeDocument/2006/docPropsVTypes"/>
</file>