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r>
        <ns0:rPr>
          <ns0:rtl ns0:val="0"/>
        </ns0:rPr>
        <ns0:t xml:space="preserve">02.50 CONSIDERATION OF ASSURANCE REPORT</ns0:t>
      </ns0:r>
    </ns0:p>
    <ns0:p ns0:rsidR="00000000" ns0:rsidDel="00000000" ns0:rsidP="00000000" ns0:rsidRDefault="00000000" ns0:rsidRPr="00000000" ns1:paraId="00000002">
      <ns0:pPr>
        <ns0:rPr/>
      </ns0:pP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pPr>
      <ns0:bookmarkStart ns0:colFirst="0" ns0:colLast="0" ns0:name="_objective0250" ns0:id="1"/>
      <ns0:bookmarkEnd ns0:id="1"/>
      <ns0:r>
        <ns0:rPr>
          <ns0:rtl ns0:val="0"/>
        </ns0:rPr>
        <ns0:t xml:space="preserve">Objective</ns0:t>
      </ns0:r>
    </ns0:p>
    <ns0:p ns0:rsidR="00000000" ns0:rsidDel="00000000" ns0:rsidP="00000000" ns0:rsidRDefault="00000000" ns0:rsidRPr="00000000" ns1:paraId="00000005">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objective of this document is to determine the type of audit opinion to be expressed, to review the draft audit report against the requirements of ISA 700, and to evaluate the reporting of key audit matters in accordance with ISA 701.</ns0:t>
      </ns0:r>
    </ns0:p>
    <ns0:p ns0:rsidR="00000000" ns0:rsidDel="00000000" ns0:rsidP="00000000" ns0:rsidRDefault="00000000" ns0:rsidRPr="00000000" ns1:paraId="00000006">
      <ns0:pPr>
        <ns0:rPr/>
      </ns0:pPr>
    </ns0:p>
    <ns0:p ns0:rsidR="00000000" ns0:rsidDel="00000000" ns0:rsidP="00000000" ns0:rsidRDefault="00000000" ns0:rsidRPr="00000000" ns1:paraId="10000267">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268">
      <ns0:pPr>
        <ns0:numPr>
          <ns0:ilvl ns0:val="0"/>
          <ns0:numId ns0:val="1"/>
        </ns0:numPr>
        <ns0:ind ns0:left="360"/>
        <ns0:spacing ns0:before="0" ns0:after="0"/>
      </ns0:pPr>
      <ns0:r>
        <ns0:rPr>
          <ns0:b ns0:val="1"/>
          <ns0:bCs ns0:val="1"/>
          <ns0:rtl ns0:val="0"/>
        </ns0:rPr>
        <ns0:t xml:space="preserve">Formation of the audit opinion on the financial statements (ISA 700)</ns0:t>
      </ns0:r>
    </ns0:p>
    <ns0:p ns0:rsidR="00000000" ns0:rsidDel="00000000" ns0:rsidP="00000000" ns0:rsidRDefault="00000000" ns0:rsidRPr="00000000" ns1:paraId="10000269">
      <ns0:pPr>
        <ns0:numPr>
          <ns0:ilvl ns0:val="0"/>
          <ns0:numId ns0:val="1"/>
        </ns0:numPr>
        <ns0:ind ns0:left="360"/>
        <ns0:spacing ns0:before="0" ns0:after="0"/>
      </ns0:pPr>
      <ns0:r>
        <ns0:rPr>
          <ns0:b ns0:val="1"/>
          <ns0:bCs ns0:val="1"/>
          <ns0:rtl ns0:val="0"/>
        </ns0:rPr>
        <ns0:t xml:space="preserve">Systematic evaluation of qualifying conditions that may require a modified opinion (ISA 705)</ns0:t>
      </ns0:r>
    </ns0:p>
    <ns0:p ns0:rsidR="00000000" ns0:rsidDel="00000000" ns0:rsidP="00000000" ns0:rsidRDefault="00000000" ns0:rsidRPr="00000000" ns1:paraId="1000026A">
      <ns0:pPr>
        <ns0:numPr>
          <ns0:ilvl ns0:val="0"/>
          <ns0:numId ns0:val="1"/>
        </ns0:numPr>
        <ns0:ind ns0:left="360"/>
        <ns0:spacing ns0:before="0" ns0:after="0"/>
      </ns0:pPr>
      <ns0:r>
        <ns0:rPr>
          <ns0:b ns0:val="1"/>
          <ns0:bCs ns0:val="1"/>
          <ns0:rtl ns0:val="0"/>
        </ns0:rPr>
        <ns0:t xml:space="preserve">Determination of the final form and content of the audit report, including emphasis of matter and other matter paragraphs</ns0:t>
      </ns0:r>
    </ns0:p>
    <ns0:p ns0:rsidR="00000000" ns0:rsidDel="00000000" ns0:rsidP="00000000" ns0:rsidRDefault="00000000" ns0:rsidRPr="00000000" ns1:paraId="1000026B">
      <ns0:pPr>
        <ns0:rPr/>
      </ns0:pPr>
    </ns0:p>
    <ns0:p ns0:rsidR="00000000" ns0:rsidDel="00000000" ns0:rsidP="00000000" ns0:rsidRDefault="00000000" ns0:rsidRPr="00000000" ns1:paraId="00000009">
      <ns0:pPr>
        <ns0:spacing ns0:after="0"/>
        <ns0:rPr/>
      </ns0:pPr>
      <ns0:bookmarkStart ns0:colFirst="0" ns0:colLast="0" ns0:name="_docplacement0250" ns0:id="2"/>
      <ns0:bookmarkEnd ns0:id="2"/>
      <ns0:r>
        <ns0:rPr>
          <ns0:rFonts ns0:ascii="Pastiche Grotesque" ns0:hAnsi="Pastiche Grotesque" ns0:cs="Pastiche Grotesque" ns0:eastAsia="Pastiche Grotesque"/>
          <ns0:b ns0:val="1"/>
          <ns0:color ns0:val="51626f"/>
          <ns0:sz ns0:val="26"/>
          <ns0:szCs ns0:val="26"/>
          <ns0:u ns0:val="none"/>
          <ns0:rtl ns0:val="0"/>
        </ns0:rPr>
        <ns0:t xml:space="preserve">Document placement</ns0:t>
      </ns0:r>
    </ns0:p>
    <ns0:p ns0:rsidR="00000000" ns0:rsidDel="00000000" ns0:rsidP="00000000" ns0:rsidRDefault="00000000" ns0:rsidRPr="00000000" ns1:paraId="0000000A">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Document 02.50 – Consideration of assurance report can be found in the Finalisation folder in the Caseware document manager.</ns0:t>
      </ns0:r>
    </ns0:p>
    <ns0:p ns0:rsidR="00AB0001" ns0:rsidRDefault="00AB0001">
      <ns0:pPr>
        <ns0:jc ns0:val="center"/>
        <ns0:rPr/>
      </ns0:pPr>
      <ns0:r>
        <ns0:rPr/>
        <ns0:drawing>
          <ns2:inline distT="0" distB="0" distL="0" distR="0">
            <ns2:extent cx="4572000" cy="3492894"/>
            <ns2:effectExtent l="0" t="0" r="0" b="0"/>
            <ns2:docPr id="901" name="Bookmark 02.50" descr="Bookmark placement for 02.50"/>
            <ns2:cNvGraphicFramePr>
              <ns3:graphicFrameLocks noChangeAspect="1"/>
            </ns2:cNvGraphicFramePr>
            <ns3:graphic>
              <ns3:graphicData uri="http://schemas.openxmlformats.org/drawingml/2006/picture">
                <ns4:pic>
                  <ns4:nvPicPr>
                    <ns4:cNvPr id="901" name="Bookmark 02.50" descr="Bookmark placement for 02.50"/>
                    <ns4:cNvPicPr/>
                  </ns4:nvPicPr>
                  <ns4:blipFill>
                    <ns3:blip ns5:embed="rId9"/>
                    <ns3:stretch>
                      <ns3:fillRect/>
                    </ns3:stretch>
                  </ns4:blipFill>
                  <ns4:spPr>
                    <ns3:xfrm>
                      <ns3:off x="0" y="0"/>
                      <ns3:ext cx="4572000" cy="3492894"/>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0C">
      <ns0:pPr>
        <ns0:pStyle ns0:val="Heading1"/>
      </ns0:pPr>
      <ns0:bookmarkStart ns0:colFirst="0" ns0:colLast="0" ns0:name="_doccontent0250" ns0:id="3"/>
      <ns0:bookmarkEnd ns0:id="3"/>
      <ns0:r>
        <ns0:rPr>
          <ns0:rtl ns0:val="0"/>
        </ns0:rPr>
        <ns0:t xml:space="preserve">Document content</ns0:t>
      </ns0:r>
    </ns0:p>
    <ns0:p ns0:rsidR="00000000" ns0:rsidDel="00000000" ns0:rsidP="00000000" ns0:rsidRDefault="00000000" ns0:rsidRPr="00000000" ns1:paraId="0000000D">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designed to be a questionnaire type document with space for a comment or further description. The document contains 15 qualifying questions that determine the type of audit opinion to be expressed, followed by a detailed checklist for reviewing the draft audit report and evaluating key audit matters.</ns0:t>
      </ns0:r>
    </ns0:p>
    <ns0:p ns0:rsidR="00000000" ns0:rsidDel="00000000" ns0:rsidP="00000000" ns0:rsidRDefault="00000000" ns0:rsidRPr="00000000" ns1:paraId="0000000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document addresses the requirements of ISA 700 – Forming an Opinion and Reporting on Financial Statements and ISA 701 – Communicating Key Audit Matters in the Independent Auditor's Report. The following bookmarks are available in the document map to assist you in navigating the document:</ns0:t>
      </ns0:r>
    </ns0:p>
    <ns0:p ns0:rsidR="00000000" ns0:rsidDel="00000000" ns0:rsidP="00000000" ns0:rsidRDefault="00000000" ns0:rsidRPr="00000000" ns1:paraId="0000000F">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Qualifying questions</ns0:t>
      </ns0:r>
    </ns0:p>
    <ns0:p ns0:rsidR="00000000" ns0:rsidDel="00000000" ns0:rsidP="00000000" ns0:rsidRDefault="00000000" ns0:rsidRPr="00000000" ns1:paraId="00000010">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Consideration of report</ns0:t>
      </ns0:r>
    </ns0:p>
    <ns0:p ns0:rsidR="00000000" ns0:rsidDel="00000000" ns0:rsidP="00000000" ns0:rsidRDefault="00000000" ns0:rsidRPr="00000000" ns1:paraId="00000011">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Key audit matters</ns0:t>
      </ns0:r>
    </ns0:p>
    <ns0:p ns0:rsidR="00AB0002" ns0:rsidRDefault="00AB0002">
      <ns0:pPr>
        <ns0:jc ns0:val="center"/>
        <ns0:rPr/>
      </ns0:pPr>
      <ns0:r>
        <ns0:rPr/>
        <ns0:drawing>
          <ns2:inline distT="0" distB="0" distL="0" distR="0">
            <ns2:extent cx="4572000" cy="2737594"/>
            <ns2:effectExtent l="0" t="0" r="0" b="0"/>
            <ns2:docPr id="902" name="CaseView 02.50" descr="CaseView document map for 02.50"/>
            <ns2:cNvGraphicFramePr>
              <ns3:graphicFrameLocks noChangeAspect="1"/>
            </ns2:cNvGraphicFramePr>
            <ns3:graphic>
              <ns3:graphicData uri="http://schemas.openxmlformats.org/drawingml/2006/picture">
                <ns4:pic>
                  <ns4:nvPicPr>
                    <ns4:cNvPr id="902" name="CaseView 02.50" descr="CaseView document map for 02.50"/>
                    <ns4:cNvPicPr/>
                  </ns4:nvPicPr>
                  <ns4:blipFill>
                    <ns3:blip ns5:embed="rId10"/>
                    <ns3:stretch>
                      <ns3:fillRect/>
                    </ns3:stretch>
                  </ns4:blipFill>
                  <ns4:spPr>
                    <ns3:xfrm>
                      <ns3:off x="0" y="0"/>
                      <ns3:ext cx="4572000" cy="2737594"/>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13">
      <ns0:pPr>
        <ns0:pStyle ns0:val="Heading1"/>
      </ns0:pPr>
      <ns0:bookmarkStart ns0:colFirst="0" ns0:colLast="0" ns0:name="_layout0250" ns0:id="4"/>
      <ns0:bookmarkEnd ns0:id="4"/>
      <ns0:r>
        <ns0:rPr>
          <ns0:rtl ns0:val="0"/>
        </ns0:rPr>
        <ns0:t xml:space="preserve">Layout</ns0:t>
      </ns0:r>
    </ns0:p>
    <ns0:tbl>
      <ns0:tblPr>
        <ns0:tblStyle ns0:val="TableGrid"/>
        <ns0:tblW ns0:w="1011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Pr>
      <ns0:tblGrid>
        <ns0:gridCol ns0:w="2580"/>
        <ns0:gridCol ns0:w="3645"/>
        <ns0:gridCol ns0:w="3885"/>
      </ns0:tblGrid>
      <ns0:tr ns1:paraId="00000014">
        <ns0:tc>
          <ns0:tcPr>
            <ns0:tcW ns0:w="2580" ns0:type="dxa"/>
          </ns0:tcPr>
          <ns0:p ns1:paraId="00000015">
            <ns0:pPr>
              <ns0:rPr>
                <ns0:b ns0:val="1"/>
                <ns0:color ns0:val="FFFFFF"/>
              </ns0:rPr>
            </ns0:pPr>
            <ns0:r>
              <ns0:rPr>
                <ns0:b ns0:val="1"/>
              </ns0:rPr>
              <ns0:t>Column</ns0:t>
            </ns0:r>
          </ns0:p>
        </ns0:tc>
        <ns0:tc>
          <ns0:tcPr>
            <ns0:tcW ns0:w="3645" ns0:type="dxa"/>
          </ns0:tcPr>
          <ns0:p ns1:paraId="00000016">
            <ns0:pPr>
              <ns0:rPr>
                <ns0:b ns0:val="1"/>
                <ns0:color ns0:val="FFFFFF"/>
              </ns0:rPr>
            </ns0:pPr>
            <ns0:r>
              <ns0:rPr>
                <ns0:b ns0:val="1"/>
              </ns0:rPr>
              <ns0:t>Input Required</ns0:t>
            </ns0:r>
          </ns0:p>
        </ns0:tc>
        <ns0:tc>
          <ns0:tcPr>
            <ns0:tcW ns0:w="3885" ns0:type="dxa"/>
          </ns0:tcPr>
          <ns0:p ns1:paraId="00000017">
            <ns0:pPr>
              <ns0:rPr>
                <ns0:b ns0:val="1"/>
                <ns0:color ns0:val="FFFFFF"/>
              </ns0:rPr>
            </ns0:pPr>
            <ns0:r>
              <ns0:rPr>
                <ns0:b ns0:val="1"/>
              </ns0:rPr>
              <ns0:t>Outcome</ns0:t>
            </ns0:r>
          </ns0:p>
        </ns0:tc>
      </ns0:tr>
      <ns0:tr ns1:paraId="00000018">
        <ns0:tc>
          <ns0:tcPr>
            <ns0:tcW ns0:w="10110" ns0:type="dxa"/>
            <ns0:gridSpan ns0:val="3"/>
          </ns0:tcPr>
          <ns0:p ns1:paraId="00000019">
            <ns0:pPr>
              <ns0:jc ns0:val="center"/>
              <ns0:rPr>
                <ns0:b ns0:val="1"/>
                <ns0:color ns0:val="FFFFFF"/>
              </ns0:rPr>
            </ns0:pPr>
            <ns0:r>
              <ns0:rPr>
                <ns0:b ns0:val="1"/>
              </ns0:rPr>
              <ns0:t>Qualifying questions</ns0:t>
            </ns0:r>
          </ns0:p>
        </ns0:tc>
      </ns0:tr>
      <ns0:tr ns1:paraId="0000001A">
        <ns0:tc>
          <ns0:tcPr>
            <ns0:tcW ns0:w="2580" ns0:type="dxa"/>
          </ns0:tcPr>
          <ns0:p ns1:paraId="0000001B">
            <ns0:pPr>
              <ns0:rPr>
                <ns0:b ns0:val="1"/>
              </ns0:rPr>
            </ns0:pPr>
            <ns0:r>
              <ns0:rPr>
                <ns0:b ns0:val="1"/>
              </ns0:rPr>
              <ns0:t>Questions</ns0:t>
            </ns0:r>
          </ns0:p>
        </ns0:tc>
        <ns0:tc>
          <ns0:tcPr>
            <ns0:tcW ns0:w="3645" ns0:type="dxa"/>
          </ns0:tcPr>
          <ns0:p ns1:paraId="0000001C">
            <ns0:r>
              <ns0:t xml:space="preserve">No input is required in this column. Displays 15 pre-populated qualifying questions addressing material misstatement, comparative figures, sufficiency of audit evidence, multiple uncertainties, emphasis of matter, other matter, prior period figures, specific report layout, fair presentation framework, other auditing standards, reportable irregularities, public interest entity status, key audit matters, going concern, and material uncertainty.</ns0:t>
            </ns0:r>
          </ns0:p>
        </ns0:tc>
        <ns0:tc>
          <ns0:tcPr>
            <ns0:tcW ns0:w="3885" ns0:type="dxa"/>
          </ns0:tcPr>
          <ns0:p ns1:paraId="0000001D">
            <ns0:r>
              <ns0:t xml:space="preserve">No impact on the engagement file. Identifies the qualifying questions that determine the type of audit opinion to be expressed.</ns0:t>
            </ns0:r>
          </ns0:p>
        </ns0:tc>
      </ns0:tr>
      <ns0:tr ns1:paraId="0000001E">
        <ns0:tc>
          <ns0:tcPr>
            <ns0:tcW ns0:w="2580" ns0:type="dxa"/>
          </ns0:tcPr>
          <ns0:p ns1:paraId="0000001F">
            <ns0:pPr>
              <ns0:rPr>
                <ns0:b ns0:val="1"/>
              </ns0:rPr>
            </ns0:pPr>
            <ns0:r>
              <ns0:rPr>
                <ns0:b ns0:val="1"/>
              </ns0:rPr>
              <ns0:t>Yes / No</ns0:t>
            </ns0:r>
          </ns0:p>
        </ns0:tc>
        <ns0:tc>
          <ns0:tcPr>
            <ns0:tcW ns0:w="3645" ns0:type="dxa"/>
          </ns0:tcPr>
          <ns0:p ns1:paraId="00000020">
            <ns0:r>
              <ns0:t xml:space="preserve">Select 'Yes' or 'No' for each qualifying question.</ns0:t>
            </ns0:r>
          </ns0:p>
        </ns0:tc>
        <ns0:tc>
          <ns0:tcPr>
            <ns0:tcW ns0:w="3885" ns0:type="dxa"/>
          </ns0:tcPr>
          <ns0:p ns1:paraId="00000021">
            <ns0:r>
              <ns0:t xml:space="preserve">The audit opinion type is automatically determined based on the combination of answers to the qualifying questions. The resulting opinion is displayed below the qualifying questions.</ns0:t>
            </ns0:r>
          </ns0:p>
        </ns0:tc>
      </ns0:tr>
      <ns0:tr ns1:paraId="00000022">
        <ns0:tc>
          <ns0:tcPr>
            <ns0:tcW ns0:w="2580" ns0:type="dxa"/>
          </ns0:tcPr>
          <ns0:p ns1:paraId="00000023">
            <ns0:pPr>
              <ns0:rPr>
                <ns0:b ns0:val="1"/>
              </ns0:rPr>
            </ns0:pPr>
            <ns0:r>
              <ns0:rPr>
                <ns0:b ns0:val="1"/>
              </ns0:rPr>
              <ns0:t>Detail</ns0:t>
            </ns0:r>
          </ns0:p>
        </ns0:tc>
        <ns0:tc>
          <ns0:tcPr>
            <ns0:tcW ns0:w="3645" ns0:type="dxa"/>
          </ns0:tcPr>
          <ns0:p ns1:paraId="00000024">
            <ns0:r>
              <ns0:t xml:space="preserve">Enter additional detail or explanation for each qualifying question where applicable.</ns0:t>
            </ns0:r>
          </ns0:p>
        </ns0:tc>
        <ns0:tc>
          <ns0:tcPr>
            <ns0:tcW ns0:w="3885" ns0:type="dxa"/>
          </ns0:tcPr>
          <ns0:p ns1:paraId="00000025">
            <ns0:r>
              <ns0:t xml:space="preserve">No impact on the engagement file. Documents the engagement team's reasoning for each qualifying question response.</ns0:t>
            </ns0:r>
          </ns0:p>
        </ns0:tc>
      </ns0:tr>
      <ns0:tr ns1:paraId="00000026">
        <ns0:tc>
          <ns0:tcPr>
            <ns0:tcW ns0:w="10110" ns0:type="dxa"/>
            <ns0:gridSpan ns0:val="3"/>
          </ns0:tcPr>
          <ns0:p ns1:paraId="00000027">
            <ns0:pPr>
              <ns0:jc ns0:val="center"/>
              <ns0:rPr>
                <ns0:b ns0:val="1"/>
                <ns0:color ns0:val="FFFFFF"/>
              </ns0:rPr>
            </ns0:pPr>
            <ns0:r>
              <ns0:rPr>
                <ns0:b ns0:val="1"/>
              </ns0:rPr>
              <ns0:t>Consideration of report</ns0:t>
            </ns0:r>
          </ns0:p>
        </ns0:tc>
      </ns0:tr>
      <ns0:tr ns1:paraId="00000028">
        <ns0:tc>
          <ns0:tcPr>
            <ns0:tcW ns0:w="2580" ns0:type="dxa"/>
          </ns0:tcPr>
          <ns0:p ns1:paraId="00000029">
            <ns0:pPr>
              <ns0:rPr>
                <ns0:b ns0:val="1"/>
              </ns0:rPr>
            </ns0:pPr>
            <ns0:r>
              <ns0:rPr>
                <ns0:b ns0:val="1"/>
              </ns0:rPr>
              <ns0:t>Questions</ns0:t>
            </ns0:r>
          </ns0:p>
        </ns0:tc>
        <ns0:tc>
          <ns0:tcPr>
            <ns0:tcW ns0:w="3645" ns0:type="dxa"/>
          </ns0:tcPr>
          <ns0:p ns1:paraId="0000002A">
            <ns0:r>
              <ns0:t xml:space="preserve">No input is required in this column. Displays pre-populated checklist items for reviewing the draft audit report. The checklist covers the report title, addressee, opinion section, basis for opinion, responsibilities of the director, auditor's responsibilities, ethical requirements, other legal and regulatory requirements, audit tenure, and report dating, with references to the applicable ISA 700 paragraphs.</ns0:t>
            </ns0:r>
          </ns0:p>
        </ns0:tc>
        <ns0:tc>
          <ns0:tcPr>
            <ns0:tcW ns0:w="3885" ns0:type="dxa"/>
          </ns0:tcPr>
          <ns0:p ns1:paraId="0000002B">
            <ns0:r>
              <ns0:t xml:space="preserve">No impact on the engagement file. Provides the review framework for the engagement team to verify the audit report content against ISA 700 requirements.</ns0:t>
            </ns0:r>
          </ns0:p>
        </ns0:tc>
      </ns0:tr>
      <ns0:tr ns1:paraId="0000002C">
        <ns0:tc>
          <ns0:tcPr>
            <ns0:tcW ns0:w="2580" ns0:type="dxa"/>
          </ns0:tcPr>
          <ns0:p ns1:paraId="0000002D">
            <ns0:pPr>
              <ns0:rPr>
                <ns0:b ns0:val="1"/>
              </ns0:rPr>
            </ns0:pPr>
            <ns0:r>
              <ns0:rPr>
                <ns0:b ns0:val="1"/>
              </ns0:rPr>
              <ns0:t>Exceptions</ns0:t>
            </ns0:r>
          </ns0:p>
        </ns0:tc>
        <ns0:tc>
          <ns0:tcPr>
            <ns0:tcW ns0:w="3645" ns0:type="dxa"/>
          </ns0:tcPr>
          <ns0:p ns1:paraId="0000002E">
            <ns0:r>
              <ns0:t xml:space="preserve">Enter any exceptions or findings identified during the review of the draft audit report for each checklist item.</ns0:t>
            </ns0:r>
          </ns0:p>
        </ns0:tc>
        <ns0:tc>
          <ns0:tcPr>
            <ns0:tcW ns0:w="3885" ns0:type="dxa"/>
          </ns0:tcPr>
          <ns0:p ns1:paraId="0000002F">
            <ns0:r>
              <ns0:t xml:space="preserve">No impact on the engagement file. Documents the exceptions identified for the engagement file.</ns0:t>
            </ns0:r>
          </ns0:p>
        </ns0:tc>
      </ns0:tr>
      <ns0:tr ns1:paraId="00000030">
        <ns0:tc>
          <ns0:tcPr>
            <ns0:tcW ns0:w="2580" ns0:type="dxa"/>
          </ns0:tcPr>
          <ns0:p ns1:paraId="00000031">
            <ns0:pPr>
              <ns0:rPr>
                <ns0:b ns0:val="1"/>
              </ns0:rPr>
            </ns0:pPr>
            <ns0:r>
              <ns0:rPr>
                <ns0:b ns0:val="1"/>
              </ns0:rPr>
              <ns0:t>Initials and date</ns0:t>
            </ns0:r>
          </ns0:p>
        </ns0:tc>
        <ns0:tc>
          <ns0:tcPr>
            <ns0:tcW ns0:w="3645" ns0:type="dxa"/>
          </ns0:tcPr>
          <ns0:p ns1:paraId="00000032">
            <ns0:r>
              <ns0:t xml:space="preserve">Enter the name or initials of the engagement team member who reviewed each checklist item and the date of review.</ns0:t>
            </ns0:r>
          </ns0:p>
        </ns0:tc>
        <ns0:tc>
          <ns0:tcPr>
            <ns0:tcW ns0:w="3885" ns0:type="dxa"/>
          </ns0:tcPr>
          <ns0:p ns1:paraId="00000033">
            <ns0:r>
              <ns0:t xml:space="preserve">No impact on the engagement file. Records who reviewed each checklist item and when the review was performed.</ns0:t>
            </ns0:r>
          </ns0:p>
        </ns0:tc>
      </ns0:tr>
      <ns0:tr ns1:paraId="00000034">
        <ns0:tc>
          <ns0:tcPr>
            <ns0:tcW ns0:w="2580" ns0:type="dxa"/>
          </ns0:tcPr>
          <ns0:p ns1:paraId="00000035">
            <ns0:pPr>
              <ns0:rPr>
                <ns0:b ns0:val="1"/>
              </ns0:rPr>
            </ns0:pPr>
            <ns0:r>
              <ns0:rPr>
                <ns0:b ns0:val="1"/>
              </ns0:rPr>
              <ns0:t>Ref.</ns0:t>
            </ns0:r>
          </ns0:p>
        </ns0:tc>
        <ns0:tc>
          <ns0:tcPr>
            <ns0:tcW ns0:w="3645" ns0:type="dxa"/>
          </ns0:tcPr>
          <ns0:p ns1:paraId="00000036">
            <ns0:r>
              <ns0:t xml:space="preserve">Enter a cross-reference to the relevant working paper or supporting documentation for each checklist item.</ns0:t>
            </ns0:r>
          </ns0:p>
        </ns0:tc>
        <ns0:tc>
          <ns0:tcPr>
            <ns0:tcW ns0:w="3885" ns0:type="dxa"/>
          </ns0:tcPr>
          <ns0:p ns1:paraId="00000037">
            <ns0:r>
              <ns0:t xml:space="preserve">No impact on the engagement file. Documents the cross-reference for the engagement file.</ns0:t>
            </ns0:r>
          </ns0:p>
        </ns0:tc>
      </ns0:tr>
      <ns0:tr ns1:paraId="00000038">
        <ns0:tc>
          <ns0:tcPr>
            <ns0:tcW ns0:w="10110" ns0:type="dxa"/>
            <ns0:gridSpan ns0:val="3"/>
          </ns0:tcPr>
          <ns0:p ns1:paraId="00000039">
            <ns0:pPr>
              <ns0:jc ns0:val="center"/>
              <ns0:rPr>
                <ns0:b ns0:val="1"/>
                <ns0:color ns0:val="FFFFFF"/>
              </ns0:rPr>
            </ns0:pPr>
            <ns0:r>
              <ns0:rPr>
                <ns0:b ns0:val="1"/>
              </ns0:rPr>
              <ns0:t>Key audit matters</ns0:t>
            </ns0:r>
          </ns0:p>
        </ns0:tc>
      </ns0:tr>
      <ns0:tr ns1:paraId="0000003A">
        <ns0:tc>
          <ns0:tcPr>
            <ns0:tcW ns0:w="2580" ns0:type="dxa"/>
          </ns0:tcPr>
          <ns0:p ns1:paraId="0000003B">
            <ns0:pPr>
              <ns0:rPr>
                <ns0:b ns0:val="1"/>
              </ns0:rPr>
            </ns0:pPr>
            <ns0:r>
              <ns0:rPr>
                <ns0:b ns0:val="1"/>
              </ns0:rPr>
              <ns0:t>Questions</ns0:t>
            </ns0:r>
          </ns0:p>
        </ns0:tc>
        <ns0:tc>
          <ns0:tcPr>
            <ns0:tcW ns0:w="3645" ns0:type="dxa"/>
          </ns0:tcPr>
          <ns0:p ns1:paraId="0000003C">
            <ns0:r>
              <ns0:t xml:space="preserve">No input is required in this column. Displays pre-populated checklist items for reviewing the Key Audit Matters section of the audit report, including the introduction, subheadings, references to disclosures, and the description of each key audit matter, with references to the applicable ISA 701 paragraphs.</ns0:t>
            </ns0:r>
          </ns0:p>
        </ns0:tc>
        <ns0:tc>
          <ns0:tcPr>
            <ns0:tcW ns0:w="3885" ns0:type="dxa"/>
          </ns0:tcPr>
          <ns0:p ns1:paraId="0000003D">
            <ns0:r>
              <ns0:t xml:space="preserve">No impact on the engagement file. Provides the review framework for the engagement team to verify the Key Audit Matters content against ISA 701 requirements.</ns0:t>
            </ns0:r>
          </ns0:p>
        </ns0:tc>
      </ns0:tr>
      <ns0:tr ns1:paraId="0000003E">
        <ns0:tc>
          <ns0:tcPr>
            <ns0:tcW ns0:w="2580" ns0:type="dxa"/>
          </ns0:tcPr>
          <ns0:p ns1:paraId="0000003F">
            <ns0:pPr>
              <ns0:rPr>
                <ns0:b ns0:val="1"/>
              </ns0:rPr>
            </ns0:pPr>
            <ns0:r>
              <ns0:rPr>
                <ns0:b ns0:val="1"/>
              </ns0:rPr>
              <ns0:t>Exceptions</ns0:t>
            </ns0:r>
          </ns0:p>
        </ns0:tc>
        <ns0:tc>
          <ns0:tcPr>
            <ns0:tcW ns0:w="3645" ns0:type="dxa"/>
          </ns0:tcPr>
          <ns0:p ns1:paraId="00000040">
            <ns0:r>
              <ns0:t xml:space="preserve">Enter any exceptions or findings identified during the review of the Key Audit Matters section for each checklist item.</ns0:t>
            </ns0:r>
          </ns0:p>
        </ns0:tc>
        <ns0:tc>
          <ns0:tcPr>
            <ns0:tcW ns0:w="3885" ns0:type="dxa"/>
          </ns0:tcPr>
          <ns0:p ns1:paraId="00000041">
            <ns0:r>
              <ns0:t xml:space="preserve">No impact on the engagement file. Documents the exceptions identified for the engagement file.</ns0:t>
            </ns0:r>
          </ns0:p>
        </ns0:tc>
      </ns0:tr>
      <ns0:tr ns1:paraId="00000042">
        <ns0:tc>
          <ns0:tcPr>
            <ns0:tcW ns0:w="2580" ns0:type="dxa"/>
          </ns0:tcPr>
          <ns0:p ns1:paraId="00000043">
            <ns0:pPr>
              <ns0:rPr>
                <ns0:b ns0:val="1"/>
              </ns0:rPr>
            </ns0:pPr>
            <ns0:r>
              <ns0:rPr>
                <ns0:b ns0:val="1"/>
              </ns0:rPr>
              <ns0:t>Initials and date</ns0:t>
            </ns0:r>
          </ns0:p>
        </ns0:tc>
        <ns0:tc>
          <ns0:tcPr>
            <ns0:tcW ns0:w="3645" ns0:type="dxa"/>
          </ns0:tcPr>
          <ns0:p ns1:paraId="00000044">
            <ns0:r>
              <ns0:t xml:space="preserve">Enter the name or initials of the engagement team member who reviewed each checklist item and the date of review.</ns0:t>
            </ns0:r>
          </ns0:p>
        </ns0:tc>
        <ns0:tc>
          <ns0:tcPr>
            <ns0:tcW ns0:w="3885" ns0:type="dxa"/>
          </ns0:tcPr>
          <ns0:p ns1:paraId="00000045">
            <ns0:r>
              <ns0:t xml:space="preserve">No impact on the engagement file. Records who reviewed each checklist item and when the review was performed.</ns0:t>
            </ns0:r>
          </ns0:p>
        </ns0:tc>
      </ns0:tr>
      <ns0:tr ns1:paraId="00000046">
        <ns0:tc>
          <ns0:tcPr>
            <ns0:tcW ns0:w="2580" ns0:type="dxa"/>
          </ns0:tcPr>
          <ns0:p ns1:paraId="00000047">
            <ns0:pPr>
              <ns0:rPr>
                <ns0:b ns0:val="1"/>
              </ns0:rPr>
            </ns0:pPr>
            <ns0:r>
              <ns0:rPr>
                <ns0:b ns0:val="1"/>
              </ns0:rPr>
              <ns0:t>Ref.</ns0:t>
            </ns0:r>
          </ns0:p>
        </ns0:tc>
        <ns0:tc>
          <ns0:tcPr>
            <ns0:tcW ns0:w="3645" ns0:type="dxa"/>
          </ns0:tcPr>
          <ns0:p ns1:paraId="00000048">
            <ns0:r>
              <ns0:t xml:space="preserve">Enter a cross-reference to the relevant working paper or supporting documentation for each checklist item.</ns0:t>
            </ns0:r>
          </ns0:p>
        </ns0:tc>
        <ns0:tc>
          <ns0:tcPr>
            <ns0:tcW ns0:w="3885" ns0:type="dxa"/>
          </ns0:tcPr>
          <ns0:p ns1:paraId="00000049">
            <ns0:r>
              <ns0:t xml:space="preserve">No impact on the engagement file. Documents the cross-reference for the engagement file.</ns0:t>
            </ns0:r>
          </ns0:p>
        </ns0:tc>
      </ns0:tr>
    </ns0:tbl>
    <ns0:p ns0:rsidR="00000000" ns0:rsidDel="00000000" ns0:rsidP="00000000" ns0:rsidRDefault="00000000" ns0:rsidRPr="00000000" ns1:paraId="10000012">
      <ns0:pPr>
        <ns0:rPr/>
      </ns0:pPr>
      <ns0:r>
        <ns0:pict>
          <ns6:rect style="width:0.0pt;height:1.5pt" ns7:hr="t" ns7:hrstd="t" ns7:hralign="center" fillcolor="#A0A0A0" stroked="f"/>
        </ns0:pict>
      </ns0:r>
    </ns0:p>
    <ns0:p ns0:rsidR="00000000" ns0:rsidDel="00000000" ns0:rsidP="00000000" ns0:rsidRDefault="00000000" ns0:rsidRPr="00000000" ns1:paraId="0000004B">
      <ns0:pPr>
        <ns0:pStyle ns0:val="Heading1"/>
      </ns0:pPr>
      <ns0:bookmarkStart ns0:colFirst="0" ns0:colLast="0" ns0:name="_docoutcomes0250" ns0:id="5"/>
      <ns0:bookmarkEnd ns0:id="5"/>
      <ns0:r>
        <ns0:rPr>
          <ns0:rtl ns0:val="0"/>
        </ns0:rPr>
        <ns0:t xml:space="preserve">Document outcomes</ns0:t>
      </ns0:r>
    </ns0:p>
    <ns0:p ns0:rsidR="00000000" ns0:rsidDel="00000000" ns0:rsidP="00000000" ns0:rsidRDefault="00000000" ns0:rsidRPr="00000000" ns1:paraId="0000004C">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team must answer the 15 qualifying questions to determine the type of audit opinion to be expressed. The opinion type is automatically determined based on the combination of answers and is displayed below the qualifying questions.</ns0:t>
      </ns0:r>
    </ns0:p>
    <ns0:p ns0:rsidR="00000000" ns0:rsidDel="00000000" ns0:rsidP="00000000" ns0:rsidRDefault="00000000" ns0:rsidRPr="00000000" ns1:paraId="0000004D">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team must review the draft audit report against the checklist items in the consideration of report section, documenting any exceptions, the person who performed the review, and cross-references to supporting documentation. The checklist covers all required elements of the audit report in accordance with ISA 700.</ns0:t>
      </ns0:r>
    </ns0:p>
    <ns0:p ns0:rsidR="00000000" ns0:rsidDel="00000000" ns0:rsidP="00000000" ns0:rsidRDefault="00000000" ns0:rsidRPr="00000000" ns1:paraId="0000004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engagement team must review the Key Audit Matters section of the audit report against the checklist items, documenting any exceptions, the person who performed the review, and cross-references to supporting documentation. The checklist covers the required elements of the Key Audit Matters section in accordance with ISA 701.</ns0:t>
      </ns0:r>
    </ns0:p>
    <ns0:p ns0:rsidR="00000000" ns0:rsidDel="00000000" ns0:rsidP="00000000" ns0:rsidRDefault="00000000" ns0:rsidRPr="00000000" ns1:paraId="0000004F">
      <ns0:pPr>
        <ns0:rPr/>
      </ns0:pPr>
    </ns0:p>
    <ns0:p ns0:rsidR="00000000" ns0:rsidDel="00000000" ns0:rsidP="00000000" ns0:rsidRDefault="00000000" ns0:rsidRPr="00000000" ns1:paraId="00000050">
      <ns0:pPr>
        <ns0:rPr/>
      </ns0:pPr>
      <ns0:r>
        <ns0:pict>
          <ns6:rect style="width:0.0pt;height:1.5pt" ns7:hr="t" ns7:hrstd="t" ns7:hralign="center" fillcolor="#A0A0A0" stroked="f"/>
        </ns0:pict>
      </ns0:r>
      <ns0:r>
        <ns0:rPr>
          <ns0:rtl ns0:val="0"/>
        </ns0:rPr>
      </ns0:r>
    </ns0:p>
    <ns0:p ns0:rsidR="00000000" ns0:rsidDel="00000000" ns0:rsidP="00000000" ns0:rsidRDefault="00000000" ns0:rsidRPr="00000000" ns1:paraId="00000051">
      <ns0:pPr>
        <ns0:pStyle ns0:val="Heading1"/>
      </ns0:pPr>
      <ns0:bookmarkStart ns0:colFirst="0" ns0:colLast="0" ns0:name="_groupaudits0250" ns0:id="6"/>
      <ns0:bookmarkEnd ns0:id="6"/>
      <ns0:r>
        <ns0:rPr>
          <ns0:rtl ns0:val="0"/>
        </ns0:rPr>
        <ns0:t xml:space="preserve">Group Audits</ns0:t>
      </ns0:r>
    </ns0:p>
    <ns0:p ns0:rsidR="00000000" ns0:rsidDel="00000000" ns0:rsidP="00000000" ns0:rsidRDefault="00000000" ns0:rsidRPr="00000000" ns1:paraId="00000052">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When the engagement type was selected as 'Group Audit Single' or 'Group Audit Multiple', the consideration of assurance report applies to the group engagement. The engagement team must evaluate the audit opinion for the group financial statements and ensure the audit report reflects the group audit requirements, including references to component auditors where applicable.</ns0:t>
      </ns0:r>
    </ns0:p>
    <ns0:p ns0:rsidR="00000000" ns0:rsidDel="00000000" ns0:rsidP="00000000" ns0:rsidRDefault="00000000" ns0:rsidRPr="00000000" ns1:paraId="00000053">
      <ns0:pPr>
        <ns0:pStyle ns0:val="Heading1"/>
      </ns0:pPr>
      <ns0:bookmarkStart ns0:colFirst="0" ns0:colLast="0" ns0:name="_inconclusion0250" ns0:id="7"/>
      <ns0:bookmarkEnd ns0:id="7"/>
      <ns0:r>
        <ns0:rPr>
          <ns0:rtl ns0:val="0"/>
        </ns0:rPr>
        <ns0:t xml:space="preserve">IN CONCLUSION</ns0:t>
      </ns0:r>
    </ns0:p>
    <ns0:p ns0:rsidR="00000000" ns0:rsidDel="00000000" ns0:rsidP="00000000" ns0:rsidRDefault="00000000" ns0:rsidRPr="00000000" ns1:paraId="00000054">
      <ns0:pPr>
        <ns0:pStyle ns0:val="Heading1"/>
      </ns0:pPr>
      <ns0:bookmarkStart ns0:colFirst="0" ns0:colLast="0" ns0:name="_features0250" ns0:id="8"/>
      <ns0:bookmarkEnd ns0:id="8"/>
      <ns0:r>
        <ns0:rPr>
          <ns0:rtl ns0:val="0"/>
        </ns0:rPr>
        <ns0:t xml:space="preserve">Features</ns0:t>
      </ns0:r>
    </ns0:p>
    <ns0:p ns0:rsidR="00000000" ns0:rsidDel="00000000" ns0:rsidP="00000000" ns0:rsidRDefault="00000000" ns0:rsidRPr="00000000" ns1:paraId="00000055">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following features are available in the document:</ns0:t>
      </ns0:r>
    </ns0:p>
    <ns0:p ns0:rsidR="00000000" ns0:rsidDel="00000000" ns0:rsidP="00000000" ns0:rsidRDefault="00000000" ns0:rsidRPr="00000000" ns1:paraId="00000056">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Insert or delete a comment, see page </ns0:t>
      </ns0:r>
      <ns0:r>
        <ns0:rPr>
          <ns0:rFonts ns0:ascii="Switzer" ns0:hAnsi="Switzer" ns0:cs="Switzer" ns0:eastAsia="Switzer"/>
          <ns0:b ns0:val="0"/>
          <ns0:color ns0:val="51626f"/>
          <ns0:sz ns0:val="20"/>
          <ns0:szCs ns0:val="20"/>
          <ns0:u ns0:val="single"/>
          <ns0:rtl ns0:val="0"/>
        </ns0:rPr>
        <ns0:t>F3</ns0:t>
      </ns0:r>
    </ns0:p>
    <ns0:p ns0:rsidR="00000000" ns0:rsidDel="00000000" ns0:rsidP="00000000" ns0:rsidRDefault="00000000" ns0:rsidRPr="00000000" ns1:paraId="00000057">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Guidance, see page </ns0:t>
      </ns0:r>
      <ns0:r>
        <ns0:rPr>
          <ns0:rFonts ns0:ascii="Switzer" ns0:hAnsi="Switzer" ns0:cs="Switzer" ns0:eastAsia="Switzer"/>
          <ns0:b ns0:val="0"/>
          <ns0:color ns0:val="51626f"/>
          <ns0:sz ns0:val="20"/>
          <ns0:szCs ns0:val="20"/>
          <ns0:u ns0:val="single"/>
          <ns0:rtl ns0:val="0"/>
        </ns0:rPr>
        <ns0:t>F16</ns0:t>
      </ns0:r>
    </ns0:p>
    <ns0:p ns0:rsidR="00000000" ns0:rsidDel="00000000" ns0:rsidP="00000000" ns0:rsidRDefault="00000000" ns0:rsidRPr="00000000" ns1:paraId="00000058">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Freeze, see page </ns0:t>
      </ns0:r>
      <ns0:r>
        <ns0:rPr>
          <ns0:rFonts ns0:ascii="Switzer" ns0:hAnsi="Switzer" ns0:cs="Switzer" ns0:eastAsia="Switzer"/>
          <ns0:b ns0:val="0"/>
          <ns0:color ns0:val="51626f"/>
          <ns0:sz ns0:val="20"/>
          <ns0:szCs ns0:val="20"/>
          <ns0:u ns0:val="single"/>
          <ns0:rtl ns0:val="0"/>
        </ns0:rPr>
        <ns0:t>F19</ns0:t>
      </ns0:r>
    </ns0:p>
    <ns0:p ns0:rsidR="00000000" ns0:rsidDel="00000000" ns0:rsidP="00000000" ns0:rsidRDefault="00000000" ns0:rsidRPr="00000000" ns1:paraId="00000059">
      <ns0:pPr>
        <ns0:rPr/>
      </ns0:pPr>
    </ns0:p>
    <ns0:sectPr>
      <ns0:pgSz ns0:w="11906" ns0:h="16838" ns0:orient="portrait"/>
      <ns0:pgMar ns0:top="720" ns0:right="720" ns0:bottom="720" ns0:left="1080" ns0:header="720" ns0:footer="720" ns0:gutter="0"/>
      <ns0:pgNumType ns0:start="1"/>
      <ns0:cols ns0:space="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