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ContentType="image/jpeg" Extension="jpg"/>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ns6="urn:schemas-microsoft-com:vml" xmlns:ns7="urn:schemas-microsoft-com:office:office">
  <ns0:body>
    <ns0:p ns0:rsidR="00000000" ns0:rsidDel="00000000" ns0:rsidP="00000000" ns0:rsidRDefault="00000000" ns0:rsidRPr="00000000" ns1:paraId="00000001">
      <ns0:pPr>
        <ns0:pStyle ns0:val="Title"/>
        <ns0:pBdr>
          <ns0:bottom ns0:val="single" ns0:sz="6" ns0:space="4" ns0:color="808080"/>
        </ns0:pBdr>
        <ns0:spacing ns0:after="0" ns0:lineRule="auto"/>
        <ns0:rPr/>
      </ns0:pPr>
      <ns0:r>
        <ns0:rPr>
          <ns0:rtl ns0:val="0"/>
        </ns0:rPr>
        <ns0:t xml:space="preserve">02.55 KEY AUDIT MATTERS</ns0:t>
      </ns0:r>
    </ns0:p>
    <ns0:p ns0:rsidR="00000000" ns0:rsidDel="00000000" ns0:rsidP="00000000" ns0:rsidRDefault="00000000" ns0:rsidRPr="00000000" ns1:paraId="00000002">
      <ns0:pPr>
        <ns0:rPr/>
      </ns0:pPr>
    </ns0:p>
    <ns0:p ns0:rsidR="00000000" ns0:rsidDel="00000000" ns0:rsidP="00000000" ns0:rsidRDefault="00000000" ns0:rsidRPr="00000000" ns1:paraId="00000003">
      <ns0:pPr>
        <ns0:rPr/>
      </ns0:pPr>
      <ns0:r>
        <ns0:rPr>
          <ns0:rtl ns0:val="0"/>
        </ns0:rPr>
        <ns0:t xml:space="preserve">The following describes the functionality and features included in Probe Audit Premium+</ns0:t>
      </ns0:r>
    </ns0:p>
    <ns0:p ns0:rsidR="00000000" ns0:rsidDel="00000000" ns0:rsidP="00000000" ns0:rsidRDefault="00000000" ns0:rsidRPr="00000000" ns1:paraId="00000004">
      <ns0:pPr>
        <ns0:pStyle ns0:val="Heading1"/>
      </ns0:pPr>
      <ns0:bookmarkStart ns0:colFirst="0" ns0:colLast="0" ns0:name="_objective0255" ns0:id="1"/>
      <ns0:bookmarkEnd ns0:id="1"/>
      <ns0:r>
        <ns0:rPr>
          <ns0:rtl ns0:val="0"/>
        </ns0:rPr>
        <ns0:t xml:space="preserve">Objective</ns0:t>
      </ns0:r>
    </ns0:p>
    <ns0:p ns0:rsidR="00000000" ns0:rsidDel="00000000" ns0:rsidP="00000000" ns0:rsidRDefault="00000000" ns0:rsidRPr="00000000" ns1:paraId="00000005">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objective of this document is to determine, from the matters communicated with those charged with governance, the key audit matters to be communicated in the auditor’s report in accordance with ISA 701.</ns0:t>
      </ns0:r>
    </ns0:p>
    <ns0:p ns0:rsidR="00000000" ns0:rsidDel="00000000" ns0:rsidP="00000000" ns0:rsidRDefault="00000000" ns0:rsidRPr="00000000" ns1:paraId="00000006">
      <ns0:pPr>
        <ns0:rPr/>
      </ns0:pPr>
    </ns0:p>
    <ns0:p ns0:rsidR="00000000" ns0:rsidDel="00000000" ns0:rsidP="00000000" ns0:rsidRDefault="00000000" ns0:rsidRPr="00000000" ns1:paraId="10000247">
      <ns0:pPr>
        <ns0:pStyle ns0:val="Heading2"/>
        <ns0:spacing ns0:after="120" ns0:before="20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following key concepts of the Probe Audit Premium+ Methodology are set in this document:</ns0:t>
      </ns0:r>
    </ns0:p>
    <ns0:p ns0:rsidR="00000000" ns0:rsidDel="00000000" ns0:rsidP="00000000" ns0:rsidRDefault="00000000" ns0:rsidRPr="00000000" ns1:paraId="10000248">
      <ns0:pPr>
        <ns0:numPr>
          <ns0:ilvl ns0:val="0"/>
          <ns0:numId ns0:val="1"/>
        </ns0:numPr>
        <ns0:ind ns0:left="360"/>
        <ns0:spacing ns0:before="0" ns0:after="0"/>
      </ns0:pPr>
      <ns0:r>
        <ns0:rPr>
          <ns0:b ns0:val="1"/>
          <ns0:bCs ns0:val="1"/>
          <ns0:rtl ns0:val="0"/>
        </ns0:rPr>
        <ns0:t xml:space="preserve">Identification of key audit matters from matters communicated with those charged with governance (ISA 701)</ns0:t>
      </ns0:r>
    </ns0:p>
    <ns0:p ns0:rsidR="00000000" ns0:rsidDel="00000000" ns0:rsidP="00000000" ns0:rsidRDefault="00000000" ns0:rsidRPr="00000000" ns1:paraId="10000249">
      <ns0:pPr>
        <ns0:numPr>
          <ns0:ilvl ns0:val="0"/>
          <ns0:numId ns0:val="1"/>
        </ns0:numPr>
        <ns0:ind ns0:left="360"/>
        <ns0:spacing ns0:before="0" ns0:after="0"/>
      </ns0:pPr>
      <ns0:r>
        <ns0:rPr>
          <ns0:b ns0:val="1"/>
          <ns0:bCs ns0:val="1"/>
          <ns0:rtl ns0:val="0"/>
        </ns0:rPr>
        <ns0:t xml:space="preserve">Application of professional judgment to determine matters requiring significant audit attention</ns0:t>
      </ns0:r>
    </ns0:p>
    <ns0:p ns0:rsidR="00000000" ns0:rsidDel="00000000" ns0:rsidP="00000000" ns0:rsidRDefault="00000000" ns0:rsidRPr="00000000" ns1:paraId="1000024A">
      <ns0:pPr>
        <ns0:numPr>
          <ns0:ilvl ns0:val="0"/>
          <ns0:numId ns0:val="1"/>
        </ns0:numPr>
        <ns0:ind ns0:left="360"/>
        <ns0:spacing ns0:before="0" ns0:after="0"/>
      </ns0:pPr>
      <ns0:r>
        <ns0:rPr>
          <ns0:b ns0:val="1"/>
          <ns0:bCs ns0:val="1"/>
          <ns0:rtl ns0:val="0"/>
        </ns0:rPr>
        <ns0:t xml:space="preserve">Communication of key audit matters in the audit report for public interest entities</ns0:t>
      </ns0:r>
    </ns0:p>
    <ns0:p ns0:rsidR="00000000" ns0:rsidDel="00000000" ns0:rsidP="00000000" ns0:rsidRDefault="00000000" ns0:rsidRPr="00000000" ns1:paraId="1000024B">
      <ns0:pPr>
        <ns0:rPr/>
      </ns0:pPr>
    </ns0:p>
    <ns0:p ns0:rsidR="00000000" ns0:rsidDel="00000000" ns0:rsidP="00000000" ns0:rsidRDefault="00000000" ns0:rsidRPr="00000000" ns1:paraId="00000009">
      <ns0:pPr>
        <ns0:spacing ns0:after="0"/>
        <ns0:rPr/>
      </ns0:pPr>
      <ns0:bookmarkStart ns0:colFirst="0" ns0:colLast="0" ns0:name="_docplacement0255" ns0:id="2"/>
      <ns0:bookmarkEnd ns0:id="2"/>
      <ns0:r>
        <ns0:rPr>
          <ns0:rFonts ns0:ascii="Pastiche Grotesque" ns0:hAnsi="Pastiche Grotesque" ns0:cs="Pastiche Grotesque" ns0:eastAsia="Pastiche Grotesque"/>
          <ns0:b ns0:val="1"/>
          <ns0:color ns0:val="51626f"/>
          <ns0:sz ns0:val="26"/>
          <ns0:szCs ns0:val="26"/>
          <ns0:u ns0:val="none"/>
          <ns0:rtl ns0:val="0"/>
        </ns0:rPr>
        <ns0:t xml:space="preserve">Document placement</ns0:t>
      </ns0:r>
    </ns0:p>
    <ns0:p ns0:rsidR="00000000" ns0:rsidDel="00000000" ns0:rsidP="00000000" ns0:rsidRDefault="00000000" ns0:rsidRPr="00000000" ns1:paraId="0000000A">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Document 02.55 – Key Audit Matters can be found in the Finalisation folder in the Caseware document manager.</ns0:t>
      </ns0:r>
    </ns0:p>
    <ns0:p ns0:rsidR="00AB0001" ns0:rsidRDefault="00AB0001">
      <ns0:pPr>
        <ns0:jc ns0:val="center"/>
        <ns0:rPr/>
      </ns0:pPr>
      <ns0:r>
        <ns0:rPr/>
        <ns0:drawing>
          <ns2:inline distT="0" distB="0" distL="0" distR="0">
            <ns2:extent cx="4572000" cy="3444998"/>
            <ns2:effectExtent l="0" t="0" r="0" b="0"/>
            <ns2:docPr id="901" name="Bookmark 02.55" descr="Bookmark placement for 02.55"/>
            <ns2:cNvGraphicFramePr>
              <ns3:graphicFrameLocks noChangeAspect="1"/>
            </ns2:cNvGraphicFramePr>
            <ns3:graphic>
              <ns3:graphicData uri="http://schemas.openxmlformats.org/drawingml/2006/picture">
                <ns4:pic>
                  <ns4:nvPicPr>
                    <ns4:cNvPr id="901" name="Bookmark 02.55" descr="Bookmark placement for 02.55"/>
                    <ns4:cNvPicPr/>
                  </ns4:nvPicPr>
                  <ns4:blipFill>
                    <ns3:blip ns5:embed="rId9"/>
                    <ns3:stretch>
                      <ns3:fillRect/>
                    </ns3:stretch>
                  </ns4:blipFill>
                  <ns4:spPr>
                    <ns3:xfrm>
                      <ns3:off x="0" y="0"/>
                      <ns3:ext cx="4572000" cy="3444998"/>
                    </ns3:xfrm>
                    <ns3:prstGeom prst="rect">
                      <ns3:avLst/>
                    </ns3:prstGeom>
                    <ns3:ln w="12700">
                      <ns3:solidFill>
                        <ns3:srgbClr val="000000"/>
                      </ns3:solidFill>
                    </ns3:ln>
                  </ns4:spPr>
                </ns4:pic>
              </ns3:graphicData>
            </ns3:graphic>
          </ns2:inline>
        </ns0:drawing>
      </ns0:r>
    </ns0:p>
    <ns0:p ns0:rsidR="00000000" ns0:rsidDel="00000000" ns0:rsidP="00000000" ns0:rsidRDefault="00000000" ns0:rsidRPr="00000000" ns1:paraId="0000000C">
      <ns0:pPr>
        <ns0:pStyle ns0:val="Heading1"/>
      </ns0:pPr>
      <ns0:bookmarkStart ns0:colFirst="0" ns0:colLast="0" ns0:name="_doccontent0255" ns0:id="3"/>
      <ns0:bookmarkEnd ns0:id="3"/>
      <ns0:r>
        <ns0:rPr>
          <ns0:rtl ns0:val="0"/>
        </ns0:rPr>
        <ns0:t xml:space="preserve">Document content</ns0:t>
      </ns0:r>
    </ns0:p>
    <ns0:p ns0:rsidR="00000000" ns0:rsidDel="00000000" ns0:rsidP="00000000" ns0:rsidRDefault="00000000" ns0:rsidRPr="00000000" ns1:paraId="0000000D">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is designed to be a checklist type document that guides the engagement team through the procedures required to determine and document key audit matters in accordance with ISA 701.</ns0:t>
      </ns0:r>
    </ns0:p>
    <ns0:p ns0:rsidR="00000000" ns0:rsidDel="00000000" ns0:rsidP="00000000" ns0:rsidRDefault="00000000" ns0:rsidRPr="00000000" ns1:paraId="0000000E">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is divided into different bookmarks in the document map to assist you in completing the key audit matters evaluation:</ns0:t>
      </ns0:r>
    </ns0:p>
    <ns0:p ns0:rsidR="00000000" ns0:rsidDel="00000000" ns0:rsidP="00000000" ns0:rsidRDefault="00000000" ns0:rsidRPr="00000000" ns1:paraId="0000000F">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Procedures</ns0:t>
      </ns0:r>
    </ns0:p>
    <ns0:p ns0:rsidR="00000000" ns0:rsidDel="00000000" ns0:rsidP="00000000" ns0:rsidRDefault="00000000" ns0:rsidRPr="00000000" ns1:paraId="00000010">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Conclusion</ns0:t>
      </ns0:r>
    </ns0:p>
    <ns0:p ns0:rsidR="00AB0002" ns0:rsidRDefault="00AB0002">
      <ns0:pPr>
        <ns0:jc ns0:val="center"/>
        <ns0:rPr/>
      </ns0:pPr>
      <ns0:r>
        <ns0:rPr/>
        <ns0:drawing>
          <ns2:inline distT="0" distB="0" distL="0" distR="0">
            <ns2:extent cx="4572000" cy="2077319"/>
            <ns2:effectExtent l="0" t="0" r="0" b="0"/>
            <ns2:docPr id="902" name="CaseView 02.55" descr="CaseView document map for 02.55"/>
            <ns2:cNvGraphicFramePr>
              <ns3:graphicFrameLocks noChangeAspect="1"/>
            </ns2:cNvGraphicFramePr>
            <ns3:graphic>
              <ns3:graphicData uri="http://schemas.openxmlformats.org/drawingml/2006/picture">
                <ns4:pic>
                  <ns4:nvPicPr>
                    <ns4:cNvPr id="902" name="CaseView 02.55" descr="CaseView document map for 02.55"/>
                    <ns4:cNvPicPr/>
                  </ns4:nvPicPr>
                  <ns4:blipFill>
                    <ns3:blip ns5:embed="rId10"/>
                    <ns3:stretch>
                      <ns3:fillRect/>
                    </ns3:stretch>
                  </ns4:blipFill>
                  <ns4:spPr>
                    <ns3:xfrm>
                      <ns3:off x="0" y="0"/>
                      <ns3:ext cx="4572000" cy="2077319"/>
                    </ns3:xfrm>
                    <ns3:prstGeom prst="rect">
                      <ns3:avLst/>
                    </ns3:prstGeom>
                    <ns3:ln w="12700">
                      <ns3:solidFill>
                        <ns3:srgbClr val="000000"/>
                      </ns3:solidFill>
                    </ns3:ln>
                  </ns4:spPr>
                </ns4:pic>
              </ns3:graphicData>
            </ns3:graphic>
          </ns2:inline>
        </ns0:drawing>
      </ns0:r>
    </ns0:p>
    <ns0:p ns0:rsidR="00000000" ns0:rsidDel="00000000" ns0:rsidP="00000000" ns0:rsidRDefault="00000000" ns0:rsidRPr="00000000" ns1:paraId="00000012">
      <ns0:pPr>
        <ns0:pStyle ns0:val="Heading1"/>
      </ns0:pPr>
      <ns0:bookmarkStart ns0:colFirst="0" ns0:colLast="0" ns0:name="_layout0255" ns0:id="4"/>
      <ns0:bookmarkEnd ns0:id="4"/>
      <ns0:r>
        <ns0:rPr>
          <ns0:rtl ns0:val="0"/>
        </ns0:rPr>
        <ns0:t xml:space="preserve">Layout</ns0:t>
      </ns0:r>
    </ns0:p>
    <ns0:tbl>
      <ns0:tblPr>
        <ns0:tblStyle ns0:val="TableGrid"/>
        <ns0:tblW ns0:w="10110"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Layout ns0:type="fixed"/>
      </ns0:tblPr>
      <ns0:tblGrid>
        <ns0:gridCol ns0:w="2580"/>
        <ns0:gridCol ns0:w="3645"/>
        <ns0:gridCol ns0:w="3885"/>
      </ns0:tblGrid>
      <ns0:tr ns1:paraId="00000013">
        <ns0:tc>
          <ns0:tcPr>
            <ns0:tcW ns0:w="2580" ns0:type="dxa"/>
          </ns0:tcPr>
          <ns0:p ns1:paraId="00000014">
            <ns0:pPr>
              <ns0:rPr>
                <ns0:b ns0:val="1"/>
                <ns0:color ns0:val="FFFFFF"/>
              </ns0:rPr>
            </ns0:pPr>
            <ns0:r>
              <ns0:rPr>
                <ns0:b ns0:val="1"/>
              </ns0:rPr>
              <ns0:t>Column</ns0:t>
            </ns0:r>
          </ns0:p>
        </ns0:tc>
        <ns0:tc>
          <ns0:tcPr>
            <ns0:tcW ns0:w="3645" ns0:type="dxa"/>
          </ns0:tcPr>
          <ns0:p ns1:paraId="00000015">
            <ns0:pPr>
              <ns0:rPr>
                <ns0:b ns0:val="1"/>
                <ns0:color ns0:val="FFFFFF"/>
              </ns0:rPr>
            </ns0:pPr>
            <ns0:r>
              <ns0:rPr>
                <ns0:b ns0:val="1"/>
              </ns0:rPr>
              <ns0:t>Input Required</ns0:t>
            </ns0:r>
          </ns0:p>
        </ns0:tc>
        <ns0:tc>
          <ns0:tcPr>
            <ns0:tcW ns0:w="3885" ns0:type="dxa"/>
          </ns0:tcPr>
          <ns0:p ns1:paraId="00000016">
            <ns0:pPr>
              <ns0:rPr>
                <ns0:b ns0:val="1"/>
                <ns0:color ns0:val="FFFFFF"/>
              </ns0:rPr>
            </ns0:pPr>
            <ns0:r>
              <ns0:rPr>
                <ns0:b ns0:val="1"/>
              </ns0:rPr>
              <ns0:t>Outcome</ns0:t>
            </ns0:r>
          </ns0:p>
        </ns0:tc>
      </ns0:tr>
      <ns0:tr ns1:paraId="00000017">
        <ns0:tc>
          <ns0:tcPr>
            <ns0:tcW ns0:w="10110" ns0:type="dxa"/>
            <ns0:gridSpan ns0:val="3"/>
          </ns0:tcPr>
          <ns0:p ns1:paraId="00000018">
            <ns0:pPr>
              <ns0:jc ns0:val="center"/>
              <ns0:rPr>
                <ns0:b ns0:val="1"/>
                <ns0:color ns0:val="FFFFFF"/>
              </ns0:rPr>
            </ns0:pPr>
            <ns0:r>
              <ns0:rPr>
                <ns0:b ns0:val="1"/>
              </ns0:rPr>
              <ns0:t>Procedures</ns0:t>
            </ns0:r>
          </ns0:p>
        </ns0:tc>
      </ns0:tr>
      <ns0:tr ns1:paraId="00000019">
        <ns0:tc>
          <ns0:tcPr>
            <ns0:tcW ns0:w="2580" ns0:type="dxa"/>
          </ns0:tcPr>
          <ns0:p ns1:paraId="0000001A">
            <ns0:pPr>
              <ns0:rPr>
                <ns0:b ns0:val="1"/>
              </ns0:rPr>
            </ns0:pPr>
            <ns0:r>
              <ns0:rPr>
                <ns0:b ns0:val="1"/>
              </ns0:rPr>
              <ns0:t>Questions</ns0:t>
            </ns0:r>
          </ns0:p>
        </ns0:tc>
        <ns0:tc>
          <ns0:tcPr>
            <ns0:tcW ns0:w="3645" ns0:type="dxa"/>
          </ns0:tcPr>
          <ns0:p ns1:paraId="0000001B">
            <ns0:r>
              <ns0:t xml:space="preserve">No input is required in this column. The procedures are pre-populated and guide the engagement team through the steps required to determine key audit matters from the matters communicated with those charged with governance.</ns0:t>
            </ns0:r>
          </ns0:p>
        </ns0:tc>
        <ns0:tc>
          <ns0:tcPr>
            <ns0:tcW ns0:w="3885" ns0:type="dxa"/>
          </ns0:tcPr>
          <ns0:p ns1:paraId="0000001C">
            <ns0:r>
              <ns0:t xml:space="preserve">No impact on the engagement file. Documents the procedures to be performed when determining key audit matters.</ns0:t>
            </ns0:r>
          </ns0:p>
        </ns0:tc>
      </ns0:tr>
      <ns0:tr ns1:paraId="0000001D">
        <ns0:tc>
          <ns0:tcPr>
            <ns0:tcW ns0:w="2580" ns0:type="dxa"/>
          </ns0:tcPr>
          <ns0:p ns1:paraId="0000001E">
            <ns0:pPr>
              <ns0:rPr>
                <ns0:b ns0:val="1"/>
              </ns0:rPr>
            </ns0:pPr>
            <ns0:r>
              <ns0:rPr>
                <ns0:b ns0:val="1"/>
              </ns0:rPr>
              <ns0:t>Exceptions</ns0:t>
            </ns0:r>
          </ns0:p>
        </ns0:tc>
        <ns0:tc>
          <ns0:tcPr>
            <ns0:tcW ns0:w="3645" ns0:type="dxa"/>
          </ns0:tcPr>
          <ns0:p ns1:paraId="0000001F">
            <ns0:r>
              <ns0:t xml:space="preserve">Enter any exceptions or findings identified during the performance of each procedure.</ns0:t>
            </ns0:r>
          </ns0:p>
        </ns0:tc>
        <ns0:tc>
          <ns0:tcPr>
            <ns0:tcW ns0:w="3885" ns0:type="dxa"/>
          </ns0:tcPr>
          <ns0:p ns1:paraId="00000020">
            <ns0:r>
              <ns0:t xml:space="preserve">No impact on the engagement file. Documents the exceptions identified for the engagement file.</ns0:t>
            </ns0:r>
          </ns0:p>
        </ns0:tc>
      </ns0:tr>
      <ns0:tr ns1:paraId="00000021">
        <ns0:tc>
          <ns0:tcPr>
            <ns0:tcW ns0:w="2580" ns0:type="dxa"/>
          </ns0:tcPr>
          <ns0:p ns1:paraId="00000022">
            <ns0:pPr>
              <ns0:rPr>
                <ns0:b ns0:val="1"/>
              </ns0:rPr>
            </ns0:pPr>
            <ns0:r>
              <ns0:rPr>
                <ns0:b ns0:val="1"/>
              </ns0:rPr>
              <ns0:t>Initials and date</ns0:t>
            </ns0:r>
          </ns0:p>
        </ns0:tc>
        <ns0:tc>
          <ns0:tcPr>
            <ns0:tcW ns0:w="3645" ns0:type="dxa"/>
          </ns0:tcPr>
          <ns0:p ns1:paraId="00000023">
            <ns0:r>
              <ns0:t xml:space="preserve">Enter the name or initials of the engagement team member who performed each procedure and the date of performance.</ns0:t>
            </ns0:r>
          </ns0:p>
        </ns0:tc>
        <ns0:tc>
          <ns0:tcPr>
            <ns0:tcW ns0:w="3885" ns0:type="dxa"/>
          </ns0:tcPr>
          <ns0:p ns1:paraId="00000024">
            <ns0:r>
              <ns0:t xml:space="preserve">No impact on the engagement file. Records who performed each procedure and when the procedure was performed.</ns0:t>
            </ns0:r>
          </ns0:p>
        </ns0:tc>
      </ns0:tr>
      <ns0:tr ns1:paraId="00000025">
        <ns0:tc>
          <ns0:tcPr>
            <ns0:tcW ns0:w="2580" ns0:type="dxa"/>
          </ns0:tcPr>
          <ns0:p ns1:paraId="00000026">
            <ns0:pPr>
              <ns0:rPr>
                <ns0:b ns0:val="1"/>
              </ns0:rPr>
            </ns0:pPr>
            <ns0:r>
              <ns0:rPr>
                <ns0:b ns0:val="1"/>
              </ns0:rPr>
              <ns0:t>Ref.</ns0:t>
            </ns0:r>
          </ns0:p>
        </ns0:tc>
        <ns0:tc>
          <ns0:tcPr>
            <ns0:tcW ns0:w="3645" ns0:type="dxa"/>
          </ns0:tcPr>
          <ns0:p ns1:paraId="00000027">
            <ns0:r>
              <ns0:t xml:space="preserve">Enter a cross-reference to the relevant working paper or supporting documentation for each procedure.</ns0:t>
            </ns0:r>
          </ns0:p>
        </ns0:tc>
        <ns0:tc>
          <ns0:tcPr>
            <ns0:tcW ns0:w="3885" ns0:type="dxa"/>
          </ns0:tcPr>
          <ns0:p ns1:paraId="00000028">
            <ns0:r>
              <ns0:t xml:space="preserve">No impact on the engagement file. Documents the cross-reference for the engagement file.</ns0:t>
            </ns0:r>
          </ns0:p>
        </ns0:tc>
      </ns0:tr>
      <ns0:tr ns1:paraId="00000029">
        <ns0:tc>
          <ns0:tcPr>
            <ns0:tcW ns0:w="10110" ns0:type="dxa"/>
            <ns0:gridSpan ns0:val="3"/>
          </ns0:tcPr>
          <ns0:p ns1:paraId="0000002A">
            <ns0:pPr>
              <ns0:jc ns0:val="center"/>
              <ns0:rPr>
                <ns0:b ns0:val="1"/>
                <ns0:color ns0:val="FFFFFF"/>
              </ns0:rPr>
            </ns0:pPr>
            <ns0:r>
              <ns0:rPr>
                <ns0:b ns0:val="1"/>
              </ns0:rPr>
              <ns0:t>Conclusion</ns0:t>
            </ns0:r>
          </ns0:p>
        </ns0:tc>
      </ns0:tr>
      <ns0:tr ns1:paraId="0000002B">
        <ns0:tc>
          <ns0:tcPr>
            <ns0:tcW ns0:w="2580" ns0:type="dxa"/>
          </ns0:tcPr>
          <ns0:p ns1:paraId="0000002C">
            <ns0:pPr>
              <ns0:rPr>
                <ns0:b ns0:val="1"/>
              </ns0:rPr>
            </ns0:pPr>
            <ns0:r>
              <ns0:rPr>
                <ns0:b ns0:val="1"/>
              </ns0:rPr>
              <ns0:t>Conclusion</ns0:t>
            </ns0:r>
          </ns0:p>
        </ns0:tc>
        <ns0:tc>
          <ns0:tcPr>
            <ns0:tcW ns0:w="3645" ns0:type="dxa"/>
          </ns0:tcPr>
          <ns0:p ns1:paraId="0000002D">
            <ns0:r>
              <ns0:t xml:space="preserve">No input is required in this column. The conclusion is pre-populated based on the outcome of the procedures performed. The default conclusion states that no key audit matters were identified.</ns0:t>
            </ns0:r>
          </ns0:p>
        </ns0:tc>
        <ns0:tc>
          <ns0:tcPr>
            <ns0:tcW ns0:w="3885" ns0:type="dxa"/>
          </ns0:tcPr>
          <ns0:p ns1:paraId="0000002E">
            <ns0:r>
              <ns0:t xml:space="preserve">No impact on the engagement file. Documents the conclusion regarding key audit matters for the engagement file.</ns0:t>
            </ns0:r>
          </ns0:p>
        </ns0:tc>
      </ns0:tr>
    </ns0:tbl>
    <ns0:p ns0:rsidR="00000000" ns0:rsidDel="00000000" ns0:rsidP="00000000" ns0:rsidRDefault="00000000" ns0:rsidRPr="00000000" ns1:paraId="10000012">
      <ns0:pPr>
        <ns0:rPr/>
      </ns0:pPr>
      <ns0:r>
        <ns0:pict>
          <ns6:rect style="width:0.0pt;height:1.5pt" ns7:hr="t" ns7:hrstd="t" ns7:hralign="center" fillcolor="#A0A0A0" stroked="f"/>
        </ns0:pict>
      </ns0:r>
    </ns0:p>
    <ns0:p ns0:rsidR="00000000" ns0:rsidDel="00000000" ns0:rsidP="00000000" ns0:rsidRDefault="00000000" ns0:rsidRPr="00000000" ns1:paraId="00000030">
      <ns0:pPr>
        <ns0:pStyle ns0:val="Heading1"/>
      </ns0:pPr>
      <ns0:bookmarkStart ns0:colFirst="0" ns0:colLast="0" ns0:name="_docoutcomes0255" ns0:id="5"/>
      <ns0:bookmarkEnd ns0:id="5"/>
      <ns0:r>
        <ns0:rPr>
          <ns0:rtl ns0:val="0"/>
        </ns0:rPr>
        <ns0:t xml:space="preserve">Document outcomes</ns0:t>
      </ns0:r>
    </ns0:p>
    <ns0:p ns0:rsidR="00000000" ns0:rsidDel="00000000" ns0:rsidP="00000000" ns0:rsidRDefault="00000000" ns0:rsidRPr="00000000" ns1:paraId="00000031">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engagement team must perform the procedures to determine, from the matters communicated with those charged with governance, those matters that required significant attention in performing the audit. The engagement team must consider areas of higher assessed risk of material misstatement or significant risks, significant management judgments relating to areas in the financial statements, and the effect of significant events or transactions that occurred during the period.</ns0:t>
      </ns0:r>
    </ns0:p>
    <ns0:p ns0:rsidR="00000000" ns0:rsidDel="00000000" ns0:rsidP="00000000" ns0:rsidRDefault="00000000" ns0:rsidRPr="00000000" ns1:paraId="00000032">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engagement team must document the conclusion regarding key audit matters. The conclusion is pre-populated and states that no key audit matters were identified. Where key audit matters are identified, the engagement team must document these accordingly and ensure they are communicated in the auditor’s report in accordance with ISA 701.</ns0:t>
      </ns0:r>
    </ns0:p>
    <ns0:p ns0:rsidR="00000000" ns0:rsidDel="00000000" ns0:rsidP="00000000" ns0:rsidRDefault="00000000" ns0:rsidRPr="00000000" ns1:paraId="00000033">
      <ns0:pPr>
        <ns0:rPr/>
      </ns0:pPr>
    </ns0:p>
    <ns0:p ns0:rsidR="00000000" ns0:rsidDel="00000000" ns0:rsidP="00000000" ns0:rsidRDefault="00000000" ns0:rsidRPr="00000000" ns1:paraId="00000034">
      <ns0:pPr>
        <ns0:rPr/>
      </ns0:pPr>
      <ns0:r>
        <ns0:pict>
          <ns6:rect style="width:0.0pt;height:1.5pt" ns7:hr="t" ns7:hrstd="t" ns7:hralign="center" fillcolor="#A0A0A0" stroked="f"/>
        </ns0:pict>
      </ns0:r>
      <ns0:r>
        <ns0:rPr>
          <ns0:rtl ns0:val="0"/>
        </ns0:rPr>
      </ns0:r>
    </ns0:p>
    <ns0:p ns0:rsidR="00000000" ns0:rsidDel="00000000" ns0:rsidP="00000000" ns0:rsidRDefault="00000000" ns0:rsidRPr="00000000" ns1:paraId="00000035">
      <ns0:pPr>
        <ns0:pStyle ns0:val="Heading1"/>
      </ns0:pPr>
      <ns0:bookmarkStart ns0:colFirst="0" ns0:colLast="0" ns0:name="_groupaudits0255" ns0:id="6"/>
      <ns0:bookmarkEnd ns0:id="6"/>
      <ns0:r>
        <ns0:rPr>
          <ns0:rtl ns0:val="0"/>
        </ns0:rPr>
        <ns0:t xml:space="preserve">Group Audits</ns0:t>
      </ns0:r>
    </ns0:p>
    <ns0:p ns0:rsidR="00000000" ns0:rsidDel="00000000" ns0:rsidP="00000000" ns0:rsidRDefault="00000000" ns0:rsidRPr="00000000" ns1:paraId="00000036">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When the engagement type was selected as 'Group Audit Single' or 'Group Audit Multiple', the key audit matters document applies to the group engagement. The engagement team must evaluate the key audit matters for the group financial statements and ensure the auditor’s report reflects the group audit requirements, including references to component auditors where applicable.</ns0:t>
      </ns0:r>
    </ns0:p>
    <ns0:p ns0:rsidR="00000000" ns0:rsidDel="00000000" ns0:rsidP="00000000" ns0:rsidRDefault="00000000" ns0:rsidRPr="00000000" ns1:paraId="00000037">
      <ns0:pPr>
        <ns0:pStyle ns0:val="Heading1"/>
      </ns0:pPr>
      <ns0:bookmarkStart ns0:colFirst="0" ns0:colLast="0" ns0:name="_inconclusion0255" ns0:id="7"/>
      <ns0:bookmarkEnd ns0:id="7"/>
      <ns0:r>
        <ns0:rPr>
          <ns0:rtl ns0:val="0"/>
        </ns0:rPr>
        <ns0:t xml:space="preserve">IN CONCLUSION</ns0:t>
      </ns0:r>
    </ns0:p>
    <ns0:p ns0:rsidR="00000000" ns0:rsidDel="00000000" ns0:rsidP="00000000" ns0:rsidRDefault="00000000" ns0:rsidRPr="00000000" ns1:paraId="00000038">
      <ns0:pPr>
        <ns0:pStyle ns0:val="Heading1"/>
      </ns0:pPr>
      <ns0:bookmarkStart ns0:colFirst="0" ns0:colLast="0" ns0:name="_features0255" ns0:id="8"/>
      <ns0:bookmarkEnd ns0:id="8"/>
      <ns0:r>
        <ns0:rPr>
          <ns0:rtl ns0:val="0"/>
        </ns0:rPr>
        <ns0:t xml:space="preserve">Features</ns0:t>
      </ns0:r>
    </ns0:p>
    <ns0:p ns0:rsidR="00000000" ns0:rsidDel="00000000" ns0:rsidP="00000000" ns0:rsidRDefault="00000000" ns0:rsidRPr="00000000" ns1:paraId="00000039">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following features are available in the document:</ns0:t>
      </ns0:r>
    </ns0:p>
    <ns0:p ns0:rsidR="00000000" ns0:rsidDel="00000000" ns0:rsidP="00000000" ns0:rsidRDefault="00000000" ns0:rsidRPr="00000000" ns1:paraId="0000003A">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Insert or delete a comment, see page </ns0:t>
      </ns0:r>
      <ns0:r>
        <ns0:rPr>
          <ns0:rFonts ns0:ascii="Switzer" ns0:hAnsi="Switzer" ns0:cs="Switzer" ns0:eastAsia="Switzer"/>
          <ns0:b ns0:val="0"/>
          <ns0:color ns0:val="51626f"/>
          <ns0:sz ns0:val="20"/>
          <ns0:szCs ns0:val="20"/>
          <ns0:u ns0:val="single"/>
          <ns0:rtl ns0:val="0"/>
        </ns0:rPr>
        <ns0:t>F3</ns0:t>
      </ns0:r>
    </ns0:p>
    <ns0:p ns0:rsidR="00000000" ns0:rsidDel="00000000" ns0:rsidP="00000000" ns0:rsidRDefault="00000000" ns0:rsidRPr="00000000" ns1:paraId="0000003B">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Guidance, see page </ns0:t>
      </ns0:r>
      <ns0:r>
        <ns0:rPr>
          <ns0:rFonts ns0:ascii="Switzer" ns0:hAnsi="Switzer" ns0:cs="Switzer" ns0:eastAsia="Switzer"/>
          <ns0:b ns0:val="0"/>
          <ns0:color ns0:val="51626f"/>
          <ns0:sz ns0:val="20"/>
          <ns0:szCs ns0:val="20"/>
          <ns0:u ns0:val="single"/>
          <ns0:rtl ns0:val="0"/>
        </ns0:rPr>
        <ns0:t>F16</ns0:t>
      </ns0:r>
    </ns0:p>
    <ns0:p ns0:rsidR="00000000" ns0:rsidDel="00000000" ns0:rsidP="00000000" ns0:rsidRDefault="00000000" ns0:rsidRPr="00000000" ns1:paraId="0000003C">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Freeze, see page </ns0:t>
      </ns0:r>
      <ns0:r>
        <ns0:rPr>
          <ns0:rFonts ns0:ascii="Switzer" ns0:hAnsi="Switzer" ns0:cs="Switzer" ns0:eastAsia="Switzer"/>
          <ns0:b ns0:val="0"/>
          <ns0:color ns0:val="51626f"/>
          <ns0:sz ns0:val="20"/>
          <ns0:szCs ns0:val="20"/>
          <ns0:u ns0:val="single"/>
          <ns0:rtl ns0:val="0"/>
        </ns0:rPr>
        <ns0:t>F19</ns0:t>
      </ns0:r>
    </ns0:p>
    <ns0:p ns0:rsidR="00000000" ns0:rsidDel="00000000" ns0:rsidP="00000000" ns0:rsidRDefault="00000000" ns0:rsidRPr="00000000" ns1:paraId="0000003D">
      <ns0:pPr>
        <ns0:rPr/>
      </ns0:pPr>
    </ns0:p>
    <ns0:sectPr>
      <ns0:pgSz ns0:w="11906" ns0:h="16838" ns0:orient="portrait"/>
      <ns0:pgMar ns0:top="720" ns0:right="720" ns0:bottom="720" ns0:left="1080" ns0:header="720" ns0:footer="720" ns0:gutter="0"/>
      <ns0:pgNumType ns0:start="1"/>
      <ns0:cols ns0:space="720"/>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witzer"/>
  <w:font w:name="Pastiche Grotesque"/>
</w:fonts>
</file>

<file path=word/numbering.xml><?xml version="1.0" encoding="utf-8"?>
<w:numbering xmlns:w="http://schemas.openxmlformats.org/wordprocessingml/2006/main">
  <w:abstractNum w:abstractNumId="1">
    <w:lvl w:ilvl="0">
      <w:start w:val="1"/>
      <w:numFmt w:val="bullet"/>
      <w:lvlText w:val="●"/>
      <w:lvlJc w:val="left"/>
      <w:pPr>
        <w:ind w:left="768" w:hanging="360"/>
      </w:pPr>
      <w:rPr>
        <w:u w:val="none"/>
        <w:sz w:val="26"/>
        <w:szCs w:val="26"/>
        <w:rFonts w:ascii="Roboto" w:hAnsi="Roboto" w:cs="Roboto" w:eastAsia="Roboto"/>
      </w:rPr>
    </w:lvl>
    <w:lvl w:ilvl="1">
      <w:start w:val="1"/>
      <w:numFmt w:val="bullet"/>
      <w:lvlText w:val="o"/>
      <w:lvlJc w:val="left"/>
      <w:pPr>
        <w:ind w:left="1488" w:hanging="360"/>
      </w:pPr>
      <w:rPr>
        <w:u w:val="none"/>
        <w:sz w:val="26"/>
        <w:szCs w:val="26"/>
        <w:rFonts w:ascii="Roboto" w:hAnsi="Roboto" w:cs="Roboto" w:eastAsia="Roboto"/>
      </w:rPr>
    </w:lvl>
    <w:lvl w:ilvl="2">
      <w:start w:val="1"/>
      <w:numFmt w:val="bullet"/>
      <w:lvlText w:val="▪"/>
      <w:lvlJc w:val="left"/>
      <w:pPr>
        <w:ind w:left="2208" w:hanging="360"/>
      </w:pPr>
      <w:rPr>
        <w:u w:val="none"/>
        <w:sz w:val="26"/>
        <w:szCs w:val="26"/>
        <w:rFonts w:ascii="Roboto" w:hAnsi="Roboto" w:cs="Roboto" w:eastAsia="Roboto"/>
      </w:rPr>
    </w:lvl>
    <w:lvl w:ilvl="3">
      <w:start w:val="1"/>
      <w:numFmt w:val="bullet"/>
      <w:lvlText w:val="●"/>
      <w:lvlJc w:val="left"/>
      <w:pPr>
        <w:ind w:left="2928" w:hanging="360"/>
      </w:pPr>
      <w:rPr>
        <w:u w:val="none"/>
        <w:sz w:val="26"/>
        <w:szCs w:val="26"/>
        <w:rFonts w:ascii="Roboto" w:hAnsi="Roboto" w:cs="Roboto" w:eastAsia="Roboto"/>
      </w:rPr>
    </w:lvl>
    <w:lvl w:ilvl="4">
      <w:start w:val="1"/>
      <w:numFmt w:val="bullet"/>
      <w:lvlText w:val="o"/>
      <w:lvlJc w:val="left"/>
      <w:pPr>
        <w:ind w:left="3648" w:hanging="360"/>
      </w:pPr>
      <w:rPr>
        <w:u w:val="none"/>
        <w:sz w:val="26"/>
        <w:szCs w:val="26"/>
        <w:rFonts w:ascii="Roboto" w:hAnsi="Roboto" w:cs="Roboto" w:eastAsia="Roboto"/>
      </w:rPr>
    </w:lvl>
    <w:lvl w:ilvl="5">
      <w:start w:val="1"/>
      <w:numFmt w:val="bullet"/>
      <w:lvlText w:val="▪"/>
      <w:lvlJc w:val="left"/>
      <w:pPr>
        <w:ind w:left="4368" w:hanging="360"/>
      </w:pPr>
      <w:rPr>
        <w:u w:val="none"/>
        <w:sz w:val="26"/>
        <w:szCs w:val="26"/>
        <w:rFonts w:ascii="Roboto" w:hAnsi="Roboto" w:cs="Roboto" w:eastAsia="Roboto"/>
      </w:rPr>
    </w:lvl>
    <w:lvl w:ilvl="6">
      <w:start w:val="1"/>
      <w:numFmt w:val="bullet"/>
      <w:lvlText w:val="●"/>
      <w:lvlJc w:val="left"/>
      <w:pPr>
        <w:ind w:left="5088" w:hanging="360"/>
      </w:pPr>
      <w:rPr>
        <w:u w:val="none"/>
        <w:sz w:val="26"/>
        <w:szCs w:val="26"/>
        <w:rFonts w:ascii="Roboto" w:hAnsi="Roboto" w:cs="Roboto" w:eastAsia="Roboto"/>
      </w:rPr>
    </w:lvl>
    <w:lvl w:ilvl="7">
      <w:start w:val="1"/>
      <w:numFmt w:val="bullet"/>
      <w:lvlText w:val="o"/>
      <w:lvlJc w:val="left"/>
      <w:pPr>
        <w:ind w:left="5808" w:hanging="360"/>
      </w:pPr>
      <w:rPr>
        <w:u w:val="none"/>
        <w:sz w:val="26"/>
        <w:szCs w:val="26"/>
        <w:rFonts w:ascii="Roboto" w:hAnsi="Roboto" w:cs="Roboto" w:eastAsia="Roboto"/>
      </w:rPr>
    </w:lvl>
    <w:lvl w:ilvl="8">
      <w:start w:val="1"/>
      <w:numFmt w:val="bullet"/>
      <w:lvlText w:val="▪"/>
      <w:lvlJc w:val="left"/>
      <w:pPr>
        <w:ind w:left="6528" w:hanging="360"/>
      </w:pPr>
      <w:rPr>
        <w:u w:val="none"/>
        <w:sz w:val="26"/>
        <w:szCs w:val="26"/>
        <w:rFonts w:ascii="Roboto" w:hAnsi="Roboto" w:cs="Roboto" w:eastAsia="Roboto"/>
      </w:rPr>
    </w:lvl>
  </w:abstractNum>
  <w:abstractNum w:abstractNumId="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3">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4">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5">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6">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7">
    <w:lvl w:ilvl="0">
      <w:start w:val="1"/>
      <w:numFmt w:val="bullet"/>
      <w:lvlText w:val="●"/>
      <w:lvlJc w:val="left"/>
      <w:pPr>
        <w:ind w:left="360" w:hanging="360"/>
      </w:pPr>
      <w:rPr>
        <w:u w:val="none"/>
        <w:sz w:val="26"/>
        <w:szCs w:val="26"/>
        <w:rFonts w:ascii="Roboto" w:hAnsi="Roboto" w:cs="Roboto" w:eastAsia="Roboto"/>
      </w:rPr>
    </w:lvl>
    <w:lvl w:ilvl="1">
      <w:start w:val="1"/>
      <w:numFmt w:val="bullet"/>
      <w:lvlText w:val="o"/>
      <w:lvlJc w:val="left"/>
      <w:pPr>
        <w:ind w:left="1080" w:hanging="360"/>
      </w:pPr>
      <w:rPr>
        <w:u w:val="none"/>
        <w:sz w:val="26"/>
        <w:szCs w:val="26"/>
        <w:rFonts w:ascii="Roboto" w:hAnsi="Roboto" w:cs="Roboto" w:eastAsia="Roboto"/>
      </w:rPr>
    </w:lvl>
    <w:lvl w:ilvl="2">
      <w:start w:val="1"/>
      <w:numFmt w:val="bullet"/>
      <w:lvlText w:val="▪"/>
      <w:lvlJc w:val="left"/>
      <w:pPr>
        <w:ind w:left="1800" w:hanging="360"/>
      </w:pPr>
      <w:rPr>
        <w:u w:val="none"/>
        <w:sz w:val="26"/>
        <w:szCs w:val="26"/>
        <w:rFonts w:ascii="Roboto" w:hAnsi="Roboto" w:cs="Roboto" w:eastAsia="Roboto"/>
      </w:rPr>
    </w:lvl>
    <w:lvl w:ilvl="3">
      <w:start w:val="1"/>
      <w:numFmt w:val="bullet"/>
      <w:lvlText w:val="●"/>
      <w:lvlJc w:val="left"/>
      <w:pPr>
        <w:ind w:left="2520" w:hanging="360"/>
      </w:pPr>
      <w:rPr>
        <w:u w:val="none"/>
        <w:sz w:val="26"/>
        <w:szCs w:val="26"/>
        <w:rFonts w:ascii="Roboto" w:hAnsi="Roboto" w:cs="Roboto" w:eastAsia="Roboto"/>
      </w:rPr>
    </w:lvl>
    <w:lvl w:ilvl="4">
      <w:start w:val="1"/>
      <w:numFmt w:val="bullet"/>
      <w:lvlText w:val="o"/>
      <w:lvlJc w:val="left"/>
      <w:pPr>
        <w:ind w:left="3240" w:hanging="360"/>
      </w:pPr>
      <w:rPr>
        <w:u w:val="none"/>
        <w:sz w:val="26"/>
        <w:szCs w:val="26"/>
        <w:rFonts w:ascii="Roboto" w:hAnsi="Roboto" w:cs="Roboto" w:eastAsia="Roboto"/>
      </w:rPr>
    </w:lvl>
    <w:lvl w:ilvl="5">
      <w:start w:val="1"/>
      <w:numFmt w:val="bullet"/>
      <w:lvlText w:val="▪"/>
      <w:lvlJc w:val="left"/>
      <w:pPr>
        <w:ind w:left="3960" w:hanging="360"/>
      </w:pPr>
      <w:rPr>
        <w:u w:val="none"/>
        <w:sz w:val="26"/>
        <w:szCs w:val="26"/>
        <w:rFonts w:ascii="Roboto" w:hAnsi="Roboto" w:cs="Roboto" w:eastAsia="Roboto"/>
      </w:rPr>
    </w:lvl>
    <w:lvl w:ilvl="6">
      <w:start w:val="1"/>
      <w:numFmt w:val="bullet"/>
      <w:lvlText w:val="●"/>
      <w:lvlJc w:val="left"/>
      <w:pPr>
        <w:ind w:left="4680" w:hanging="360"/>
      </w:pPr>
      <w:rPr>
        <w:u w:val="none"/>
        <w:sz w:val="26"/>
        <w:szCs w:val="26"/>
        <w:rFonts w:ascii="Roboto" w:hAnsi="Roboto" w:cs="Roboto" w:eastAsia="Roboto"/>
      </w:rPr>
    </w:lvl>
    <w:lvl w:ilvl="7">
      <w:start w:val="1"/>
      <w:numFmt w:val="bullet"/>
      <w:lvlText w:val="o"/>
      <w:lvlJc w:val="left"/>
      <w:pPr>
        <w:ind w:left="5400" w:hanging="360"/>
      </w:pPr>
      <w:rPr>
        <w:u w:val="none"/>
        <w:sz w:val="26"/>
        <w:szCs w:val="26"/>
        <w:rFonts w:ascii="Roboto" w:hAnsi="Roboto" w:cs="Roboto" w:eastAsia="Roboto"/>
      </w:rPr>
    </w:lvl>
    <w:lvl w:ilvl="8">
      <w:start w:val="1"/>
      <w:numFmt w:val="bullet"/>
      <w:lvlText w:val="▪"/>
      <w:lvlJc w:val="left"/>
      <w:pPr>
        <w:ind w:left="6120" w:hanging="360"/>
      </w:pPr>
      <w:rPr>
        <w:u w:val="none"/>
        <w:sz w:val="26"/>
        <w:szCs w:val="26"/>
        <w:rFonts w:ascii="Roboto" w:hAnsi="Roboto" w:cs="Roboto" w:eastAsia="Roboto"/>
      </w:rPr>
    </w:lvl>
  </w:abstractNum>
  <w:abstractNum w:abstractNumId="8">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9">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0">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1">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Switzer" w:cs="Switzer" w:eastAsia="Switzer" w:hAnsi="Switzer"/>
        <w:color w:val="51626f"/>
        <w:sz w:val="20"/>
        <w:szCs w:val="20"/>
        <w:highlight w:val="white"/>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Switzer" w:hAnsi="Switzer" w:cs="Switzer" w:eastAsia="Switzer"/>
      <w:sz w:val="20"/>
      <w:szCs w:val="20"/>
    </w:rPr>
  </w:style>
  <w:style w:type="paragraph" w:styleId="Heading1">
    <w:name w:val="heading 1"/>
    <w:basedOn w:val="Normal"/>
    <w:next w:val="Normal"/>
    <w:pPr>
      <w:keepNext w:val="1"/>
      <w:keepLines w:val="1"/>
      <w:spacing w:after="0" w:line="264" w:lineRule="auto"/>
    </w:pPr>
    <w:rPr>
      <w:b/>
      <w:sz w:val="26"/>
      <w:szCs w:val="26"/>
      <w:rFonts w:ascii="Pastiche Grotesque" w:hAnsi="Pastiche Grotesque" w:cs="Pastiche Grotesque" w:eastAsia="Pastiche Grotesque"/>
    </w:rPr>
  </w:style>
  <w:style w:type="paragraph" w:styleId="Heading2">
    <w:name w:val="heading 2"/>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3">
    <w:name w:val="heading 3"/>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00" w:line="264" w:lineRule="auto"/>
    </w:pPr>
    <w:rPr>
      <w:color w:val="f66359"/>
      <w:sz w:val="32"/>
      <w:szCs w:val="32"/>
      <w:rFonts w:ascii="Switzer" w:hAnsi="Switzer" w:cs="Switzer" w:eastAsia="Switzer"/>
    </w:rPr>
  </w:style>
  <w:style w:type="paragraph" w:styleId="Subtitle">
    <w:name w:val="Subtitle"/>
    <w:basedOn w:val="Normal"/>
    <w:next w:val="Normal"/>
    <w:pPr>
      <w:keepNext w:val="1"/>
      <w:keepLines w:val="1"/>
      <w:spacing w:after="0" w:before="120" w:lineRule="auto"/>
    </w:pPr>
    <w:rPr>
      <w:sz w:val="26"/>
      <w:szCs w:val="26"/>
      <w:rFonts w:ascii="Pastiche Grotesque" w:hAnsi="Pastiche Grotesque" w:cs="Pastiche Grotesque" w:eastAsia="Pastiche Grotesqu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_rels/fontTable.xml.rels><?xml version="1.0" encoding="UTF-8"?><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