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jpeg" Extension="jpg"/>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urn:schemas-microsoft-com:vml" xmlns:ns7="urn:schemas-microsoft-com:office:office">
  <ns0:body>
    <ns0:p ns0:rsidR="00000000" ns0:rsidDel="00000000" ns0:rsidP="00000000" ns0:rsidRDefault="00000000" ns0:rsidRPr="00000000" ns1:paraId="00000001">
      <ns0:pPr>
        <ns0:pStyle ns0:val="Title"/>
        <ns0:pBdr>
          <ns0:bottom ns0:val="single" ns0:sz="6" ns0:space="4" ns0:color="808080"/>
        </ns0:pBdr>
        <ns0:spacing ns0:after="0" ns0:lineRule="auto"/>
        <ns0:rPr/>
      </ns0:pPr>
      <ns0:r>
        <ns0:rPr>
          <ns0:rtl ns0:val="0"/>
        </ns0:rPr>
        <ns0:t xml:space="preserve">02.10 SUBSEQUENT EVENTS WORK PROGRAM</ns0:t>
      </ns0:r>
    </ns0:p>
    <ns0:p ns0:rsidR="00000000" ns0:rsidDel="00000000" ns0:rsidP="00000000" ns0:rsidRDefault="00000000" ns0:rsidRPr="00000000" ns1:paraId="00000002">
      <ns0:pPr>
        <ns0:rPr/>
      </ns0:pPr>
    </ns0:p>
    <ns0:p ns0:rsidR="00000000" ns0:rsidDel="00000000" ns0:rsidP="00000000" ns0:rsidRDefault="00000000" ns0:rsidRPr="00000000" ns1:paraId="00000003">
      <ns0:pPr>
        <ns0:rPr/>
      </ns0:pPr>
      <ns0:r>
        <ns0:rPr>
          <ns0:rtl ns0:val="0"/>
        </ns0:rPr>
        <ns0:t xml:space="preserve">The following describes the functionality and features included in Probe Audit Premium+</ns0:t>
      </ns0:r>
    </ns0:p>
    <ns0:p ns0:rsidR="00000000" ns0:rsidDel="00000000" ns0:rsidP="00000000" ns0:rsidRDefault="00000000" ns0:rsidRPr="00000000" ns1:paraId="00000004">
      <ns0:pPr>
        <ns0:pStyle ns0:val="Heading1"/>
      </ns0:pPr>
      <ns0:bookmarkStart ns0:colFirst="0" ns0:colLast="0" ns0:name="_objective0210" ns0:id="1"/>
      <ns0:bookmarkEnd ns0:id="1"/>
      <ns0:r>
        <ns0:rPr>
          <ns0:rtl ns0:val="0"/>
        </ns0:rPr>
        <ns0:t xml:space="preserve">Objective</ns0:t>
      </ns0:r>
    </ns0:p>
    <ns0:p ns0:rsidR="00000000" ns0:rsidDel="00000000" ns0:rsidP="00000000" ns0:rsidRDefault="00000000" ns0:rsidRPr="00000000" ns1:paraId="00000005">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objective of this document is to guide the engagement team through the procedures required to identify and evaluate subsequent events occurring between the date of the financial statements and the date of the auditor's report, and to document the conclusions reached.</ns0:t>
      </ns0:r>
    </ns0:p>
    <ns0:p ns0:rsidR="00000000" ns0:rsidDel="00000000" ns0:rsidP="00000000" ns0:rsidRDefault="00000000" ns0:rsidRPr="00000000" ns1:paraId="00000006">
      <ns0:pPr>
        <ns0:rPr/>
      </ns0:pPr>
    </ns0:p>
    <ns0:p ns0:rsidR="00000000" ns0:rsidDel="00000000" ns0:rsidP="00000000" ns0:rsidRDefault="00000000" ns0:rsidRPr="00000000" ns1:paraId="10000257">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key concepts of the Probe Audit Premium+ Methodology are set in this document:</ns0:t>
      </ns0:r>
    </ns0:p>
    <ns0:p ns0:rsidR="00000000" ns0:rsidDel="00000000" ns0:rsidP="00000000" ns0:rsidRDefault="00000000" ns0:rsidRPr="00000000" ns1:paraId="10000258">
      <ns0:pPr>
        <ns0:numPr>
          <ns0:ilvl ns0:val="0"/>
          <ns0:numId ns0:val="1"/>
        </ns0:numPr>
        <ns0:ind ns0:left="360"/>
        <ns0:spacing ns0:before="0" ns0:after="0"/>
      </ns0:pPr>
      <ns0:r>
        <ns0:rPr>
          <ns0:b ns0:val="1"/>
          <ns0:bCs ns0:val="1"/>
          <ns0:rtl ns0:val="0"/>
        </ns0:rPr>
        <ns0:t xml:space="preserve">Identification of events between the financial statement date and audit report date (ISA 560)</ns0:t>
      </ns0:r>
    </ns0:p>
    <ns0:p ns0:rsidR="00000000" ns0:rsidDel="00000000" ns0:rsidP="00000000" ns0:rsidRDefault="00000000" ns0:rsidRPr="00000000" ns1:paraId="10000259">
      <ns0:pPr>
        <ns0:numPr>
          <ns0:ilvl ns0:val="0"/>
          <ns0:numId ns0:val="1"/>
        </ns0:numPr>
        <ns0:ind ns0:left="360"/>
        <ns0:spacing ns0:before="0" ns0:after="0"/>
      </ns0:pPr>
      <ns0:r>
        <ns0:rPr>
          <ns0:b ns0:val="1"/>
          <ns0:bCs ns0:val="1"/>
          <ns0:rtl ns0:val="0"/>
        </ns0:rPr>
        <ns0:t xml:space="preserve">Evaluation of whether identified events require adjustment or disclosure in the financial statements</ns0:t>
      </ns0:r>
    </ns0:p>
    <ns0:p ns0:rsidR="00000000" ns0:rsidDel="00000000" ns0:rsidP="00000000" ns0:rsidRDefault="00000000" ns0:rsidRPr="00000000" ns1:paraId="1000025A">
      <ns0:pPr>
        <ns0:numPr>
          <ns0:ilvl ns0:val="0"/>
          <ns0:numId ns0:val="1"/>
        </ns0:numPr>
        <ns0:ind ns0:left="360"/>
        <ns0:spacing ns0:before="0" ns0:after="0"/>
      </ns0:pPr>
      <ns0:r>
        <ns0:rPr>
          <ns0:b ns0:val="1"/>
          <ns0:bCs ns0:val="1"/>
          <ns0:rtl ns0:val="0"/>
        </ns0:rPr>
        <ns0:t xml:space="preserve">Impact of subsequent events on the audit opinion and audit report date</ns0:t>
      </ns0:r>
    </ns0:p>
    <ns0:p ns0:rsidR="00000000" ns0:rsidDel="00000000" ns0:rsidP="00000000" ns0:rsidRDefault="00000000" ns0:rsidRPr="00000000" ns1:paraId="1000025B">
      <ns0:pPr>
        <ns0:rPr/>
      </ns0:pPr>
    </ns0:p>
    <ns0:p ns0:rsidR="00000000" ns0:rsidDel="00000000" ns0:rsidP="00000000" ns0:rsidRDefault="00000000" ns0:rsidRPr="00000000" ns1:paraId="00000009">
      <ns0:pPr>
        <ns0:spacing ns0:after="0"/>
        <ns0:rPr/>
      </ns0:pPr>
      <ns0:bookmarkStart ns0:colFirst="0" ns0:colLast="0" ns0:name="_docplacement0210" ns0:id="2"/>
      <ns0:bookmarkEnd ns0:id="2"/>
      <ns0:r>
        <ns0:rPr>
          <ns0:rFonts ns0:ascii="Pastiche Grotesque" ns0:hAnsi="Pastiche Grotesque" ns0:cs="Pastiche Grotesque" ns0:eastAsia="Pastiche Grotesque"/>
          <ns0:b ns0:val="1"/>
          <ns0:color ns0:val="51626f"/>
          <ns0:sz ns0:val="26"/>
          <ns0:szCs ns0:val="26"/>
          <ns0:u ns0:val="none"/>
          <ns0:rtl ns0:val="0"/>
        </ns0:rPr>
        <ns0:t xml:space="preserve">Document placement</ns0:t>
      </ns0:r>
    </ns0:p>
    <ns0:p ns0:rsidR="00000000" ns0:rsidDel="00000000" ns0:rsidP="00000000" ns0:rsidRDefault="00000000" ns0:rsidRPr="00000000" ns1:paraId="0000000A">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Document 02.10 – Subsequent events work program can be found in the Finalisation folder in the Caseware document manager.</ns0:t>
      </ns0:r>
    </ns0:p>
    <ns0:p ns0:rsidR="00AB0001" ns0:rsidRDefault="00AB0001">
      <ns0:pPr>
        <ns0:jc ns0:val="center"/>
        <ns0:rPr/>
      </ns0:pPr>
      <ns0:r>
        <ns0:rPr/>
        <ns0:drawing>
          <ns2:inline distT="0" distB="0" distL="0" distR="0">
            <ns2:extent cx="4572000" cy="3486637"/>
            <ns2:effectExtent l="0" t="0" r="0" b="0"/>
            <ns2:docPr id="901" name="Bookmark 02.10" descr="Bookmark placement for 02.10"/>
            <ns2:cNvGraphicFramePr>
              <ns3:graphicFrameLocks noChangeAspect="1"/>
            </ns2:cNvGraphicFramePr>
            <ns3:graphic>
              <ns3:graphicData uri="http://schemas.openxmlformats.org/drawingml/2006/picture">
                <ns4:pic>
                  <ns4:nvPicPr>
                    <ns4:cNvPr id="901" name="Bookmark 02.10" descr="Bookmark placement for 02.10"/>
                    <ns4:cNvPicPr/>
                  </ns4:nvPicPr>
                  <ns4:blipFill>
                    <ns3:blip ns5:embed="rId9"/>
                    <ns3:stretch>
                      <ns3:fillRect/>
                    </ns3:stretch>
                  </ns4:blipFill>
                  <ns4:spPr>
                    <ns3:xfrm>
                      <ns3:off x="0" y="0"/>
                      <ns3:ext cx="4572000" cy="3486637"/>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0C">
      <ns0:pPr>
        <ns0:pStyle ns0:val="Heading1"/>
      </ns0:pPr>
      <ns0:bookmarkStart ns0:colFirst="0" ns0:colLast="0" ns0:name="_doccontent0210" ns0:id="3"/>
      <ns0:bookmarkEnd ns0:id="3"/>
      <ns0:r>
        <ns0:rPr>
          <ns0:rtl ns0:val="0"/>
        </ns0:rPr>
        <ns0:t xml:space="preserve">Document content</ns0:t>
      </ns0:r>
    </ns0:p>
    <ns0:p ns0:rsidR="00000000" ns0:rsidDel="00000000" ns0:rsidP="00000000" ns0:rsidRDefault="00000000" ns0:rsidRPr="00000000" ns1:paraId="0000000D">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designed to be a CaseView work program with pre-populated audit procedures and space for comments, event recording, and cross-referencing.</ns0:t>
      </ns0:r>
    </ns0:p>
    <ns0:p ns0:rsidR="00000000" ns0:rsidDel="00000000" ns0:rsidP="00000000" ns0:rsidRDefault="00000000" ns0:rsidRPr="00000000" ns1:paraId="0000000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addresses ISA 560 (Subsequent Events) by providing a structured set of procedures for identifying events occurring between the date of the financial statements and the date of the auditor's report. The procedures also reference the IFRS for SMEs Accounting Standard Section 32 (Events after the End of the Reporting Period) as issued by the International Accounting Standards Board.</ns0:t>
      </ns0:r>
    </ns0:p>
    <ns0:p ns0:rsidR="00000000" ns0:rsidDel="00000000" ns0:rsidP="00000000" ns0:rsidRDefault="00000000" ns0:rsidRPr="00000000" ns1:paraId="0000000F">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divided into different bookmarks in the document map to assist you with navigation:</ns0:t>
      </ns0:r>
    </ns0:p>
    <ns0:p ns0:rsidR="00000000" ns0:rsidDel="00000000" ns0:rsidP="00000000" ns0:rsidRDefault="00000000" ns0:rsidRPr="00000000" ns1:paraId="00000010">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Procedures to identify events</ns0:t>
      </ns0:r>
    </ns0:p>
    <ns0:p ns0:rsidR="00000000" ns0:rsidDel="00000000" ns0:rsidP="00000000" ns0:rsidRDefault="00000000" ns0:rsidRPr="00000000" ns1:paraId="00000011">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Conclusion</ns0:t>
      </ns0:r>
    </ns0:p>
    <ns0:p ns0:rsidR="00AB0002" ns0:rsidRDefault="00AB0002">
      <ns0:pPr>
        <ns0:jc ns0:val="center"/>
        <ns0:rPr/>
      </ns0:pPr>
      <ns0:r>
        <ns0:rPr/>
        <ns0:drawing>
          <ns2:inline distT="0" distB="0" distL="0" distR="0">
            <ns2:extent cx="4572000" cy="2537913"/>
            <ns2:effectExtent l="0" t="0" r="0" b="0"/>
            <ns2:docPr id="902" name="CaseView 02.10" descr="CaseView document map for 02.10"/>
            <ns2:cNvGraphicFramePr>
              <ns3:graphicFrameLocks noChangeAspect="1"/>
            </ns2:cNvGraphicFramePr>
            <ns3:graphic>
              <ns3:graphicData uri="http://schemas.openxmlformats.org/drawingml/2006/picture">
                <ns4:pic>
                  <ns4:nvPicPr>
                    <ns4:cNvPr id="902" name="CaseView 02.10" descr="CaseView document map for 02.10"/>
                    <ns4:cNvPicPr/>
                  </ns4:nvPicPr>
                  <ns4:blipFill>
                    <ns3:blip ns5:embed="rId10"/>
                    <ns3:stretch>
                      <ns3:fillRect/>
                    </ns3:stretch>
                  </ns4:blipFill>
                  <ns4:spPr>
                    <ns3:xfrm>
                      <ns3:off x="0" y="0"/>
                      <ns3:ext cx="4572000" cy="2537913"/>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13">
      <ns0:pPr>
        <ns0:pStyle ns0:val="Heading1"/>
      </ns0:pPr>
      <ns0:bookmarkStart ns0:colFirst="0" ns0:colLast="0" ns0:name="_layout0210" ns0:id="4"/>
      <ns0:bookmarkEnd ns0:id="4"/>
      <ns0:r>
        <ns0:rPr>
          <ns0:rtl ns0:val="0"/>
        </ns0:rPr>
        <ns0:t xml:space="preserve">Layout</ns0:t>
      </ns0:r>
    </ns0:p>
    <ns0:tbl>
      <ns0:tblPr>
        <ns0:tblStyle ns0:val="TableGrid"/>
        <ns0:tblW ns0:w="1011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Pr>
      <ns0:tblGrid>
        <ns0:gridCol ns0:w="2580"/>
        <ns0:gridCol ns0:w="3645"/>
        <ns0:gridCol ns0:w="3885"/>
      </ns0:tblGrid>
      <ns0:tr ns1:paraId="00000014">
        <ns0:tc>
          <ns0:tcPr>
            <ns0:tcW ns0:w="2580" ns0:type="dxa"/>
          </ns0:tcPr>
          <ns0:p ns1:paraId="00000015">
            <ns0:pPr>
              <ns0:rPr>
                <ns0:b ns0:val="1"/>
                <ns0:color ns0:val="FFFFFF"/>
              </ns0:rPr>
            </ns0:pPr>
            <ns0:r>
              <ns0:rPr>
                <ns0:b ns0:val="1"/>
              </ns0:rPr>
              <ns0:t>Column</ns0:t>
            </ns0:r>
          </ns0:p>
        </ns0:tc>
        <ns0:tc>
          <ns0:tcPr>
            <ns0:tcW ns0:w="3645" ns0:type="dxa"/>
          </ns0:tcPr>
          <ns0:p ns1:paraId="00000016">
            <ns0:pPr>
              <ns0:rPr>
                <ns0:b ns0:val="1"/>
                <ns0:color ns0:val="FFFFFF"/>
              </ns0:rPr>
            </ns0:pPr>
            <ns0:r>
              <ns0:rPr>
                <ns0:b ns0:val="1"/>
              </ns0:rPr>
              <ns0:t>Input Required</ns0:t>
            </ns0:r>
          </ns0:p>
        </ns0:tc>
        <ns0:tc>
          <ns0:tcPr>
            <ns0:tcW ns0:w="3885" ns0:type="dxa"/>
          </ns0:tcPr>
          <ns0:p ns1:paraId="00000017">
            <ns0:pPr>
              <ns0:rPr>
                <ns0:b ns0:val="1"/>
                <ns0:color ns0:val="FFFFFF"/>
              </ns0:rPr>
            </ns0:pPr>
            <ns0:r>
              <ns0:rPr>
                <ns0:b ns0:val="1"/>
              </ns0:rPr>
              <ns0:t>Outcome</ns0:t>
            </ns0:r>
          </ns0:p>
        </ns0:tc>
      </ns0:tr>
      <ns0:tr ns1:paraId="00000018">
        <ns0:tc>
          <ns0:tcPr>
            <ns0:tcW ns0:w="10110" ns0:type="dxa"/>
            <ns0:gridSpan ns0:val="3"/>
          </ns0:tcPr>
          <ns0:p ns1:paraId="00000019">
            <ns0:pPr>
              <ns0:jc ns0:val="center"/>
              <ns0:rPr>
                <ns0:b ns0:val="1"/>
                <ns0:color ns0:val="FFFFFF"/>
              </ns0:rPr>
            </ns0:pPr>
            <ns0:r>
              <ns0:rPr>
                <ns0:b ns0:val="1"/>
              </ns0:rPr>
              <ns0:t>Procedures to identify events</ns0:t>
            </ns0:r>
          </ns0:p>
        </ns0:tc>
      </ns0:tr>
      <ns0:tr ns1:paraId="0000001A">
        <ns0:tc>
          <ns0:tcPr>
            <ns0:tcW ns0:w="2580" ns0:type="dxa"/>
          </ns0:tcPr>
          <ns0:p ns1:paraId="0000001B">
            <ns0:pPr>
              <ns0:rPr>
                <ns0:b ns0:val="1"/>
              </ns0:rPr>
            </ns0:pPr>
            <ns0:r>
              <ns0:rPr>
                <ns0:b ns0:val="1"/>
              </ns0:rPr>
              <ns0:t>Procedures to identify events</ns0:t>
            </ns0:r>
          </ns0:p>
        </ns0:tc>
        <ns0:tc>
          <ns0:tcPr>
            <ns0:tcW ns0:w="3645" ns0:type="dxa"/>
          </ns0:tcPr>
          <ns0:p ns1:paraId="0000001C">
            <ns0:r>
              <ns0:t xml:space="preserve">No input is required in this column. Displays 11 numbered audit procedures for identifying subsequent events. These procedures address management enquiries, review of interim financial information, reading of minutes, obtaining written representations, enquiries of legal counsel, and review of adjusting and non-adjusting events in accordance with the IFRS for SMEs Section 32.</ns0:t>
            </ns0:r>
          </ns0:p>
        </ns0:tc>
        <ns0:tc>
          <ns0:tcPr>
            <ns0:tcW ns0:w="3885" ns0:type="dxa"/>
          </ns0:tcPr>
          <ns0:p ns1:paraId="0000001D">
            <ns0:r>
              <ns0:t xml:space="preserve">No impact on the engagement file. Provides the structured work program for the engagement team to perform subsequent events procedures.</ns0:t>
            </ns0:r>
          </ns0:p>
        </ns0:tc>
      </ns0:tr>
      <ns0:tr ns1:paraId="0000001E">
        <ns0:tc>
          <ns0:tcPr>
            <ns0:tcW ns0:w="2580" ns0:type="dxa"/>
          </ns0:tcPr>
          <ns0:p ns1:paraId="0000001F">
            <ns0:pPr>
              <ns0:rPr>
                <ns0:b ns0:val="1"/>
              </ns0:rPr>
            </ns0:pPr>
            <ns0:r>
              <ns0:rPr>
                <ns0:b ns0:val="1"/>
              </ns0:rPr>
              <ns0:t>Comment</ns0:t>
            </ns0:r>
          </ns0:p>
        </ns0:tc>
        <ns0:tc>
          <ns0:tcPr>
            <ns0:tcW ns0:w="3645" ns0:type="dxa"/>
          </ns0:tcPr>
          <ns0:p ns1:paraId="00000020">
            <ns0:r>
              <ns0:t xml:space="preserve">Enter comments or further detail describing the work performed and findings for each procedure.</ns0:t>
            </ns0:r>
          </ns0:p>
        </ns0:tc>
        <ns0:tc>
          <ns0:tcPr>
            <ns0:tcW ns0:w="3885" ns0:type="dxa"/>
          </ns0:tcPr>
          <ns0:p ns1:paraId="00000021">
            <ns0:r>
              <ns0:t xml:space="preserve">No impact on the engagement file. Documents the engagement team's comments and findings for each subsequent events procedure.</ns0:t>
            </ns0:r>
          </ns0:p>
        </ns0:tc>
      </ns0:tr>
      <ns0:tr ns1:paraId="00000022">
        <ns0:tc>
          <ns0:tcPr>
            <ns0:tcW ns0:w="2580" ns0:type="dxa"/>
          </ns0:tcPr>
          <ns0:p ns1:paraId="00000023">
            <ns0:pPr>
              <ns0:rPr>
                <ns0:b ns0:val="1"/>
              </ns0:rPr>
            </ns0:pPr>
            <ns0:r>
              <ns0:rPr>
                <ns0:b ns0:val="1"/>
              </ns0:rPr>
              <ns0:t>Event</ns0:t>
            </ns0:r>
          </ns0:p>
        </ns0:tc>
        <ns0:tc>
          <ns0:tcPr>
            <ns0:tcW ns0:w="3645" ns0:type="dxa"/>
          </ns0:tcPr>
          <ns0:p ns1:paraId="00000024">
            <ns0:r>
              <ns0:t xml:space="preserve">Enter a description of any subsequent event identified during the performance of the procedure.</ns0:t>
            </ns0:r>
          </ns0:p>
        </ns0:tc>
        <ns0:tc>
          <ns0:tcPr>
            <ns0:tcW ns0:w="3885" ns0:type="dxa"/>
          </ns0:tcPr>
          <ns0:p ns1:paraId="00000025">
            <ns0:r>
              <ns0:t xml:space="preserve">No impact on the engagement file. Records the subsequent event identified for the engagement file.</ns0:t>
            </ns0:r>
          </ns0:p>
        </ns0:tc>
      </ns0:tr>
      <ns0:tr ns1:paraId="00000026">
        <ns0:tc>
          <ns0:tcPr>
            <ns0:tcW ns0:w="2580" ns0:type="dxa"/>
          </ns0:tcPr>
          <ns0:p ns1:paraId="00000027">
            <ns0:pPr>
              <ns0:rPr>
                <ns0:b ns0:val="1"/>
              </ns0:rPr>
            </ns0:pPr>
            <ns0:r>
              <ns0:rPr>
                <ns0:b ns0:val="1"/>
              </ns0:rPr>
              <ns0:t>Ref.</ns0:t>
            </ns0:r>
          </ns0:p>
        </ns0:tc>
        <ns0:tc>
          <ns0:tcPr>
            <ns0:tcW ns0:w="3645" ns0:type="dxa"/>
          </ns0:tcPr>
          <ns0:p ns1:paraId="00000028">
            <ns0:r>
              <ns0:t xml:space="preserve">Enter a cross-reference to the relevant working paper or supporting documentation for each procedure.</ns0:t>
            </ns0:r>
          </ns0:p>
        </ns0:tc>
        <ns0:tc>
          <ns0:tcPr>
            <ns0:tcW ns0:w="3885" ns0:type="dxa"/>
          </ns0:tcPr>
          <ns0:p ns1:paraId="00000029">
            <ns0:r>
              <ns0:t xml:space="preserve">No impact on the engagement file. Documents the cross-reference for the engagement file.</ns0:t>
            </ns0:r>
          </ns0:p>
        </ns0:tc>
      </ns0:tr>
      <ns0:tr ns1:paraId="0000002A">
        <ns0:tc>
          <ns0:tcPr>
            <ns0:tcW ns0:w="10110" ns0:type="dxa"/>
            <ns0:gridSpan ns0:val="3"/>
          </ns0:tcPr>
          <ns0:p ns1:paraId="0000002B">
            <ns0:pPr>
              <ns0:jc ns0:val="center"/>
              <ns0:rPr>
                <ns0:b ns0:val="1"/>
                <ns0:color ns0:val="FFFFFF"/>
              </ns0:rPr>
            </ns0:pPr>
            <ns0:r>
              <ns0:rPr>
                <ns0:b ns0:val="1"/>
              </ns0:rPr>
              <ns0:t>Conclusion</ns0:t>
            </ns0:r>
          </ns0:p>
        </ns0:tc>
      </ns0:tr>
      <ns0:tr ns1:paraId="0000002C">
        <ns0:tc>
          <ns0:tcPr>
            <ns0:tcW ns0:w="2580" ns0:type="dxa"/>
          </ns0:tcPr>
          <ns0:p ns1:paraId="0000002D">
            <ns0:pPr>
              <ns0:rPr>
                <ns0:b ns0:val="1"/>
              </ns0:rPr>
            </ns0:pPr>
            <ns0:r>
              <ns0:rPr>
                <ns0:b ns0:val="1"/>
              </ns0:rPr>
              <ns0:t>Conclusion statement</ns0:t>
            </ns0:r>
          </ns0:p>
        </ns0:tc>
        <ns0:tc>
          <ns0:tcPr>
            <ns0:tcW ns0:w="3645" ns0:type="dxa"/>
          </ns0:tcPr>
          <ns0:p ns1:paraId="0000002E">
            <ns0:r>
              <ns0:t xml:space="preserve">No input is required in this column. Displays the pre-populated conclusion: "No subsequent events were identified that need to be recorded in the financial statements."</ns0:t>
            </ns0:r>
          </ns0:p>
        </ns0:tc>
        <ns0:tc>
          <ns0:tcPr>
            <ns0:tcW ns0:w="3885" ns0:type="dxa"/>
          </ns0:tcPr>
          <ns0:p ns1:paraId="0000002F">
            <ns0:r>
              <ns0:t xml:space="preserve">No impact on the engagement file. Provides the default conclusion for the engagement team's review.</ns0:t>
            </ns0:r>
          </ns0:p>
        </ns0:tc>
      </ns0:tr>
      <ns0:tr ns1:paraId="00000030">
        <ns0:tc>
          <ns0:tcPr>
            <ns0:tcW ns0:w="2580" ns0:type="dxa"/>
          </ns0:tcPr>
          <ns0:p ns1:paraId="00000031">
            <ns0:pPr>
              <ns0:rPr>
                <ns0:b ns0:val="1"/>
              </ns0:rPr>
            </ns0:pPr>
            <ns0:r>
              <ns0:rPr>
                <ns0:b ns0:val="1"/>
              </ns0:rPr>
              <ns0:t>Comment</ns0:t>
            </ns0:r>
          </ns0:p>
        </ns0:tc>
        <ns0:tc>
          <ns0:tcPr>
            <ns0:tcW ns0:w="3645" ns0:type="dxa"/>
          </ns0:tcPr>
          <ns0:p ns1:paraId="00000032">
            <ns0:r>
              <ns0:t xml:space="preserve">Enter any comments relating to the conclusion on subsequent events.</ns0:t>
            </ns0:r>
          </ns0:p>
        </ns0:tc>
        <ns0:tc>
          <ns0:tcPr>
            <ns0:tcW ns0:w="3885" ns0:type="dxa"/>
          </ns0:tcPr>
          <ns0:p ns1:paraId="00000033">
            <ns0:r>
              <ns0:t xml:space="preserve">No impact on the engagement file. Documents the engagement team's comment on the conclusion for the engagement file.</ns0:t>
            </ns0:r>
          </ns0:p>
        </ns0:tc>
      </ns0:tr>
    </ns0:tbl>
    <ns0:p ns0:rsidR="00000000" ns0:rsidDel="00000000" ns0:rsidP="00000000" ns0:rsidRDefault="00000000" ns0:rsidRPr="00000000" ns1:paraId="10000012">
      <ns0:pPr>
        <ns0:rPr/>
      </ns0:pPr>
      <ns0:r>
        <ns0:pict>
          <ns6:rect style="width:0.0pt;height:1.5pt" ns7:hr="t" ns7:hrstd="t" ns7:hralign="center" fillcolor="#A0A0A0" stroked="f"/>
        </ns0:pict>
      </ns0:r>
    </ns0:p>
    <ns0:p ns0:rsidR="00000000" ns0:rsidDel="00000000" ns0:rsidP="00000000" ns0:rsidRDefault="00000000" ns0:rsidRPr="00000000" ns1:paraId="00000035">
      <ns0:pPr>
        <ns0:pStyle ns0:val="Heading1"/>
      </ns0:pPr>
      <ns0:bookmarkStart ns0:colFirst="0" ns0:colLast="0" ns0:name="_docoutcomes0210" ns0:id="5"/>
      <ns0:bookmarkEnd ns0:id="5"/>
      <ns0:r>
        <ns0:rPr>
          <ns0:rtl ns0:val="0"/>
        </ns0:rPr>
        <ns0:t xml:space="preserve">Document outcomes</ns0:t>
      </ns0:r>
    </ns0:p>
    <ns0:p ns0:rsidR="00000000" ns0:rsidDel="00000000" ns0:rsidP="00000000" ns0:rsidRDefault="00000000" ns0:rsidRPr="00000000" ns1:paraId="00000036">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team must perform the 11 subsequent events procedures and document their comments, events identified, and cross-references for each procedure performed. The procedures cover management enquiries regarding events after year end, review of interim financial information, obtaining written representations, enquiries of legal counsel, and evaluation of adjusting and non-adjusting events in accordance with the IFRS for SMEs Section 32.</ns0:t>
      </ns0:r>
    </ns0:p>
    <ns0:p ns0:rsidR="00000000" ns0:rsidDel="00000000" ns0:rsidP="00000000" ns0:rsidRDefault="00000000" ns0:rsidRPr="00000000" ns1:paraId="00000037">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team must review the pre-populated conclusion and confirm that no subsequent events were identified that need to be recorded in the financial statements, or amend the conclusion where subsequent events have been identified.</ns0:t>
      </ns0:r>
    </ns0:p>
    <ns0:p ns0:rsidR="00000000" ns0:rsidDel="00000000" ns0:rsidP="00000000" ns0:rsidRDefault="00000000" ns0:rsidRPr="00000000" ns1:paraId="00000038">
      <ns0:pPr>
        <ns0:rPr/>
      </ns0:pPr>
    </ns0:p>
    <ns0:p ns0:rsidR="00000000" ns0:rsidDel="00000000" ns0:rsidP="00000000" ns0:rsidRDefault="00000000" ns0:rsidRPr="00000000" ns1:paraId="00000039">
      <ns0:pPr>
        <ns0:rPr/>
      </ns0:pPr>
      <ns0:r>
        <ns0:pict>
          <ns6:rect style="width:0.0pt;height:1.5pt" ns7:hr="t" ns7:hrstd="t" ns7:hralign="center" fillcolor="#A0A0A0" stroked="f"/>
        </ns0:pict>
      </ns0:r>
      <ns0:r>
        <ns0:rPr>
          <ns0:rtl ns0:val="0"/>
        </ns0:rPr>
      </ns0:r>
    </ns0:p>
    <ns0:p ns0:rsidR="00000000" ns0:rsidDel="00000000" ns0:rsidP="00000000" ns0:rsidRDefault="00000000" ns0:rsidRPr="00000000" ns1:paraId="0000003A">
      <ns0:pPr>
        <ns0:pStyle ns0:val="Heading1"/>
      </ns0:pPr>
      <ns0:bookmarkStart ns0:colFirst="0" ns0:colLast="0" ns0:name="_groupaudits0210" ns0:id="6"/>
      <ns0:bookmarkEnd ns0:id="6"/>
      <ns0:r>
        <ns0:rPr>
          <ns0:rtl ns0:val="0"/>
        </ns0:rPr>
        <ns0:t xml:space="preserve">Group Audits</ns0:t>
      </ns0:r>
    </ns0:p>
    <ns0:p ns0:rsidR="00000000" ns0:rsidDel="00000000" ns0:rsidP="00000000" ns0:rsidRDefault="00000000" ns0:rsidRPr="00000000" ns1:paraId="0000003B">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When the engagement type was selected as 'Group Audit Single' or 'Group Audit Multiple', the subsequent events work program applies to the group engagement. The engagement team must perform the subsequent events procedures for the group financial statements and consider the impact of subsequent events at both the group and component level.</ns0:t>
      </ns0:r>
    </ns0:p>
    <ns0:p ns0:rsidR="00000000" ns0:rsidDel="00000000" ns0:rsidP="00000000" ns0:rsidRDefault="00000000" ns0:rsidRPr="00000000" ns1:paraId="0000003C">
      <ns0:pPr>
        <ns0:pStyle ns0:val="Heading1"/>
      </ns0:pPr>
      <ns0:bookmarkStart ns0:colFirst="0" ns0:colLast="0" ns0:name="_inconclusion0210" ns0:id="7"/>
      <ns0:bookmarkEnd ns0:id="7"/>
      <ns0:r>
        <ns0:rPr>
          <ns0:rtl ns0:val="0"/>
        </ns0:rPr>
        <ns0:t xml:space="preserve">IN CONCLUSION</ns0:t>
      </ns0:r>
    </ns0:p>
    <ns0:p ns0:rsidR="00000000" ns0:rsidDel="00000000" ns0:rsidP="00000000" ns0:rsidRDefault="00000000" ns0:rsidRPr="00000000" ns1:paraId="0000003D">
      <ns0:pPr>
        <ns0:pStyle ns0:val="Heading1"/>
      </ns0:pPr>
      <ns0:bookmarkStart ns0:colFirst="0" ns0:colLast="0" ns0:name="_features0210" ns0:id="8"/>
      <ns0:bookmarkEnd ns0:id="8"/>
      <ns0:r>
        <ns0:rPr>
          <ns0:rtl ns0:val="0"/>
        </ns0:rPr>
        <ns0:t xml:space="preserve">Features</ns0:t>
      </ns0:r>
    </ns0:p>
    <ns0:p ns0:rsidR="00000000" ns0:rsidDel="00000000" ns0:rsidP="00000000" ns0:rsidRDefault="00000000" ns0:rsidRPr="00000000" ns1:paraId="0000003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following features are available in the document:</ns0:t>
      </ns0:r>
    </ns0:p>
    <ns0:p ns0:rsidR="00000000" ns0:rsidDel="00000000" ns0:rsidP="00000000" ns0:rsidRDefault="00000000" ns0:rsidRPr="00000000" ns1:paraId="0000003F">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Insert or delete a comment, see page </ns0:t>
      </ns0:r>
      <ns0:r>
        <ns0:rPr>
          <ns0:rFonts ns0:ascii="Switzer" ns0:hAnsi="Switzer" ns0:cs="Switzer" ns0:eastAsia="Switzer"/>
          <ns0:b ns0:val="0"/>
          <ns0:color ns0:val="51626f"/>
          <ns0:sz ns0:val="20"/>
          <ns0:szCs ns0:val="20"/>
          <ns0:u ns0:val="single"/>
          <ns0:rtl ns0:val="0"/>
        </ns0:rPr>
        <ns0:t>F3</ns0:t>
      </ns0:r>
    </ns0:p>
    <ns0:p ns0:rsidR="00000000" ns0:rsidDel="00000000" ns0:rsidP="00000000" ns0:rsidRDefault="00000000" ns0:rsidRPr="00000000" ns1:paraId="00000040">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Insert or delete a row at the end, see page </ns0:t>
      </ns0:r>
      <ns0:r>
        <ns0:rPr>
          <ns0:rFonts ns0:ascii="Switzer" ns0:hAnsi="Switzer" ns0:cs="Switzer" ns0:eastAsia="Switzer"/>
          <ns0:b ns0:val="0"/>
          <ns0:color ns0:val="51626f"/>
          <ns0:sz ns0:val="20"/>
          <ns0:szCs ns0:val="20"/>
          <ns0:u ns0:val="single"/>
          <ns0:rtl ns0:val="0"/>
        </ns0:rPr>
        <ns0:t>F5</ns0:t>
      </ns0:r>
    </ns0:p>
    <ns0:p ns0:rsidR="00000000" ns0:rsidDel="00000000" ns0:rsidP="00000000" ns0:rsidRDefault="00000000" ns0:rsidRPr="00000000" ns1:paraId="00000041">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Guidance, see page </ns0:t>
      </ns0:r>
      <ns0:r>
        <ns0:rPr>
          <ns0:rFonts ns0:ascii="Switzer" ns0:hAnsi="Switzer" ns0:cs="Switzer" ns0:eastAsia="Switzer"/>
          <ns0:b ns0:val="0"/>
          <ns0:color ns0:val="51626f"/>
          <ns0:sz ns0:val="20"/>
          <ns0:szCs ns0:val="20"/>
          <ns0:u ns0:val="single"/>
          <ns0:rtl ns0:val="0"/>
        </ns0:rPr>
        <ns0:t>F16</ns0:t>
      </ns0:r>
    </ns0:p>
    <ns0:p ns0:rsidR="00000000" ns0:rsidDel="00000000" ns0:rsidP="00000000" ns0:rsidRDefault="00000000" ns0:rsidRPr="00000000" ns1:paraId="00000042">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Freeze, see page </ns0:t>
      </ns0:r>
      <ns0:r>
        <ns0:rPr>
          <ns0:rFonts ns0:ascii="Switzer" ns0:hAnsi="Switzer" ns0:cs="Switzer" ns0:eastAsia="Switzer"/>
          <ns0:b ns0:val="0"/>
          <ns0:color ns0:val="51626f"/>
          <ns0:sz ns0:val="20"/>
          <ns0:szCs ns0:val="20"/>
          <ns0:u ns0:val="single"/>
          <ns0:rtl ns0:val="0"/>
        </ns0:rPr>
        <ns0:t>F19</ns0:t>
      </ns0:r>
    </ns0:p>
    <ns0:p ns0:rsidR="00000000" ns0:rsidDel="00000000" ns0:rsidP="00000000" ns0:rsidRDefault="00000000" ns0:rsidRPr="00000000" ns1:paraId="00000043">
      <ns0:pPr>
        <ns0:rPr/>
      </ns0:pPr>
    </ns0:p>
    <ns0:sectPr>
      <ns0:pgSz ns0:w="11906" ns0:h="16838" ns0:orient="portrait"/>
      <ns0:pgMar ns0:top="720" ns0:right="720" ns0:bottom="720" ns0:left="1080" ns0:header="720" ns0:footer="720" ns0:gutter="0"/>
      <ns0:pgNumType ns0:start="1"/>
      <ns0:cols ns0:space="72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witzer"/>
  <w:font w:name="Pastiche Grotesque"/>
</w:fonts>
</file>

<file path=word/numbering.xml><?xml version="1.0" encoding="utf-8"?>
<w:numbering xmlns:w="http://schemas.openxmlformats.org/wordprocessingml/2006/main">
  <w:abstractNum w:abstractNumId="1">
    <w:lvl w:ilvl="0">
      <w:start w:val="1"/>
      <w:numFmt w:val="bullet"/>
      <w:lvlText w:val="●"/>
      <w:lvlJc w:val="left"/>
      <w:pPr>
        <w:ind w:left="768" w:hanging="360"/>
      </w:pPr>
      <w:rPr>
        <w:u w:val="none"/>
        <w:sz w:val="26"/>
        <w:szCs w:val="26"/>
        <w:rFonts w:ascii="Roboto" w:hAnsi="Roboto" w:cs="Roboto" w:eastAsia="Roboto"/>
      </w:rPr>
    </w:lvl>
    <w:lvl w:ilvl="1">
      <w:start w:val="1"/>
      <w:numFmt w:val="bullet"/>
      <w:lvlText w:val="o"/>
      <w:lvlJc w:val="left"/>
      <w:pPr>
        <w:ind w:left="1488" w:hanging="360"/>
      </w:pPr>
      <w:rPr>
        <w:u w:val="none"/>
        <w:sz w:val="26"/>
        <w:szCs w:val="26"/>
        <w:rFonts w:ascii="Roboto" w:hAnsi="Roboto" w:cs="Roboto" w:eastAsia="Roboto"/>
      </w:rPr>
    </w:lvl>
    <w:lvl w:ilvl="2">
      <w:start w:val="1"/>
      <w:numFmt w:val="bullet"/>
      <w:lvlText w:val="▪"/>
      <w:lvlJc w:val="left"/>
      <w:pPr>
        <w:ind w:left="2208" w:hanging="360"/>
      </w:pPr>
      <w:rPr>
        <w:u w:val="none"/>
        <w:sz w:val="26"/>
        <w:szCs w:val="26"/>
        <w:rFonts w:ascii="Roboto" w:hAnsi="Roboto" w:cs="Roboto" w:eastAsia="Roboto"/>
      </w:rPr>
    </w:lvl>
    <w:lvl w:ilvl="3">
      <w:start w:val="1"/>
      <w:numFmt w:val="bullet"/>
      <w:lvlText w:val="●"/>
      <w:lvlJc w:val="left"/>
      <w:pPr>
        <w:ind w:left="2928" w:hanging="360"/>
      </w:pPr>
      <w:rPr>
        <w:u w:val="none"/>
        <w:sz w:val="26"/>
        <w:szCs w:val="26"/>
        <w:rFonts w:ascii="Roboto" w:hAnsi="Roboto" w:cs="Roboto" w:eastAsia="Roboto"/>
      </w:rPr>
    </w:lvl>
    <w:lvl w:ilvl="4">
      <w:start w:val="1"/>
      <w:numFmt w:val="bullet"/>
      <w:lvlText w:val="o"/>
      <w:lvlJc w:val="left"/>
      <w:pPr>
        <w:ind w:left="3648" w:hanging="360"/>
      </w:pPr>
      <w:rPr>
        <w:u w:val="none"/>
        <w:sz w:val="26"/>
        <w:szCs w:val="26"/>
        <w:rFonts w:ascii="Roboto" w:hAnsi="Roboto" w:cs="Roboto" w:eastAsia="Roboto"/>
      </w:rPr>
    </w:lvl>
    <w:lvl w:ilvl="5">
      <w:start w:val="1"/>
      <w:numFmt w:val="bullet"/>
      <w:lvlText w:val="▪"/>
      <w:lvlJc w:val="left"/>
      <w:pPr>
        <w:ind w:left="4368" w:hanging="360"/>
      </w:pPr>
      <w:rPr>
        <w:u w:val="none"/>
        <w:sz w:val="26"/>
        <w:szCs w:val="26"/>
        <w:rFonts w:ascii="Roboto" w:hAnsi="Roboto" w:cs="Roboto" w:eastAsia="Roboto"/>
      </w:rPr>
    </w:lvl>
    <w:lvl w:ilvl="6">
      <w:start w:val="1"/>
      <w:numFmt w:val="bullet"/>
      <w:lvlText w:val="●"/>
      <w:lvlJc w:val="left"/>
      <w:pPr>
        <w:ind w:left="5088" w:hanging="360"/>
      </w:pPr>
      <w:rPr>
        <w:u w:val="none"/>
        <w:sz w:val="26"/>
        <w:szCs w:val="26"/>
        <w:rFonts w:ascii="Roboto" w:hAnsi="Roboto" w:cs="Roboto" w:eastAsia="Roboto"/>
      </w:rPr>
    </w:lvl>
    <w:lvl w:ilvl="7">
      <w:start w:val="1"/>
      <w:numFmt w:val="bullet"/>
      <w:lvlText w:val="o"/>
      <w:lvlJc w:val="left"/>
      <w:pPr>
        <w:ind w:left="5808" w:hanging="360"/>
      </w:pPr>
      <w:rPr>
        <w:u w:val="none"/>
        <w:sz w:val="26"/>
        <w:szCs w:val="26"/>
        <w:rFonts w:ascii="Roboto" w:hAnsi="Roboto" w:cs="Roboto" w:eastAsia="Roboto"/>
      </w:rPr>
    </w:lvl>
    <w:lvl w:ilvl="8">
      <w:start w:val="1"/>
      <w:numFmt w:val="bullet"/>
      <w:lvlText w:val="▪"/>
      <w:lvlJc w:val="left"/>
      <w:pPr>
        <w:ind w:left="6528" w:hanging="360"/>
      </w:pPr>
      <w:rPr>
        <w:u w:val="none"/>
        <w:sz w:val="26"/>
        <w:szCs w:val="26"/>
        <w:rFonts w:ascii="Roboto" w:hAnsi="Roboto" w:cs="Roboto" w:eastAsia="Roboto"/>
      </w:rPr>
    </w:lvl>
  </w:abstractNum>
  <w:abstractNum w:abstractNumId="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4">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5">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6">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7">
    <w:lvl w:ilvl="0">
      <w:start w:val="1"/>
      <w:numFmt w:val="bullet"/>
      <w:lvlText w:val="●"/>
      <w:lvlJc w:val="left"/>
      <w:pPr>
        <w:ind w:left="360" w:hanging="360"/>
      </w:pPr>
      <w:rPr>
        <w:u w:val="none"/>
        <w:sz w:val="26"/>
        <w:szCs w:val="26"/>
        <w:rFonts w:ascii="Roboto" w:hAnsi="Roboto" w:cs="Roboto" w:eastAsia="Roboto"/>
      </w:rPr>
    </w:lvl>
    <w:lvl w:ilvl="1">
      <w:start w:val="1"/>
      <w:numFmt w:val="bullet"/>
      <w:lvlText w:val="o"/>
      <w:lvlJc w:val="left"/>
      <w:pPr>
        <w:ind w:left="1080" w:hanging="360"/>
      </w:pPr>
      <w:rPr>
        <w:u w:val="none"/>
        <w:sz w:val="26"/>
        <w:szCs w:val="26"/>
        <w:rFonts w:ascii="Roboto" w:hAnsi="Roboto" w:cs="Roboto" w:eastAsia="Roboto"/>
      </w:rPr>
    </w:lvl>
    <w:lvl w:ilvl="2">
      <w:start w:val="1"/>
      <w:numFmt w:val="bullet"/>
      <w:lvlText w:val="▪"/>
      <w:lvlJc w:val="left"/>
      <w:pPr>
        <w:ind w:left="1800" w:hanging="360"/>
      </w:pPr>
      <w:rPr>
        <w:u w:val="none"/>
        <w:sz w:val="26"/>
        <w:szCs w:val="26"/>
        <w:rFonts w:ascii="Roboto" w:hAnsi="Roboto" w:cs="Roboto" w:eastAsia="Roboto"/>
      </w:rPr>
    </w:lvl>
    <w:lvl w:ilvl="3">
      <w:start w:val="1"/>
      <w:numFmt w:val="bullet"/>
      <w:lvlText w:val="●"/>
      <w:lvlJc w:val="left"/>
      <w:pPr>
        <w:ind w:left="2520" w:hanging="360"/>
      </w:pPr>
      <w:rPr>
        <w:u w:val="none"/>
        <w:sz w:val="26"/>
        <w:szCs w:val="26"/>
        <w:rFonts w:ascii="Roboto" w:hAnsi="Roboto" w:cs="Roboto" w:eastAsia="Roboto"/>
      </w:rPr>
    </w:lvl>
    <w:lvl w:ilvl="4">
      <w:start w:val="1"/>
      <w:numFmt w:val="bullet"/>
      <w:lvlText w:val="o"/>
      <w:lvlJc w:val="left"/>
      <w:pPr>
        <w:ind w:left="3240" w:hanging="360"/>
      </w:pPr>
      <w:rPr>
        <w:u w:val="none"/>
        <w:sz w:val="26"/>
        <w:szCs w:val="26"/>
        <w:rFonts w:ascii="Roboto" w:hAnsi="Roboto" w:cs="Roboto" w:eastAsia="Roboto"/>
      </w:rPr>
    </w:lvl>
    <w:lvl w:ilvl="5">
      <w:start w:val="1"/>
      <w:numFmt w:val="bullet"/>
      <w:lvlText w:val="▪"/>
      <w:lvlJc w:val="left"/>
      <w:pPr>
        <w:ind w:left="3960" w:hanging="360"/>
      </w:pPr>
      <w:rPr>
        <w:u w:val="none"/>
        <w:sz w:val="26"/>
        <w:szCs w:val="26"/>
        <w:rFonts w:ascii="Roboto" w:hAnsi="Roboto" w:cs="Roboto" w:eastAsia="Roboto"/>
      </w:rPr>
    </w:lvl>
    <w:lvl w:ilvl="6">
      <w:start w:val="1"/>
      <w:numFmt w:val="bullet"/>
      <w:lvlText w:val="●"/>
      <w:lvlJc w:val="left"/>
      <w:pPr>
        <w:ind w:left="4680" w:hanging="360"/>
      </w:pPr>
      <w:rPr>
        <w:u w:val="none"/>
        <w:sz w:val="26"/>
        <w:szCs w:val="26"/>
        <w:rFonts w:ascii="Roboto" w:hAnsi="Roboto" w:cs="Roboto" w:eastAsia="Roboto"/>
      </w:rPr>
    </w:lvl>
    <w:lvl w:ilvl="7">
      <w:start w:val="1"/>
      <w:numFmt w:val="bullet"/>
      <w:lvlText w:val="o"/>
      <w:lvlJc w:val="left"/>
      <w:pPr>
        <w:ind w:left="5400" w:hanging="360"/>
      </w:pPr>
      <w:rPr>
        <w:u w:val="none"/>
        <w:sz w:val="26"/>
        <w:szCs w:val="26"/>
        <w:rFonts w:ascii="Roboto" w:hAnsi="Roboto" w:cs="Roboto" w:eastAsia="Roboto"/>
      </w:rPr>
    </w:lvl>
    <w:lvl w:ilvl="8">
      <w:start w:val="1"/>
      <w:numFmt w:val="bullet"/>
      <w:lvlText w:val="▪"/>
      <w:lvlJc w:val="left"/>
      <w:pPr>
        <w:ind w:left="6120" w:hanging="360"/>
      </w:pPr>
      <w:rPr>
        <w:u w:val="none"/>
        <w:sz w:val="26"/>
        <w:szCs w:val="26"/>
        <w:rFonts w:ascii="Roboto" w:hAnsi="Roboto" w:cs="Roboto" w:eastAsia="Roboto"/>
      </w:rPr>
    </w:lvl>
  </w:abstractNum>
  <w:abstractNum w:abstractNumId="8">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9">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Switzer" w:cs="Switzer" w:eastAsia="Switzer" w:hAnsi="Switzer"/>
        <w:color w:val="51626f"/>
        <w:sz w:val="20"/>
        <w:szCs w:val="20"/>
        <w:highlight w:val="white"/>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Switzer" w:hAnsi="Switzer" w:cs="Switzer" w:eastAsia="Switzer"/>
      <w:sz w:val="20"/>
      <w:szCs w:val="20"/>
    </w:rPr>
  </w:style>
  <w:style w:type="paragraph" w:styleId="Heading1">
    <w:name w:val="heading 1"/>
    <w:basedOn w:val="Normal"/>
    <w:next w:val="Normal"/>
    <w:pPr>
      <w:keepNext w:val="1"/>
      <w:keepLines w:val="1"/>
      <w:spacing w:after="0" w:line="264" w:lineRule="auto"/>
    </w:pPr>
    <w:rPr>
      <w:b/>
      <w:sz w:val="26"/>
      <w:szCs w:val="26"/>
      <w:rFonts w:ascii="Pastiche Grotesque" w:hAnsi="Pastiche Grotesque" w:cs="Pastiche Grotesque" w:eastAsia="Pastiche Grotesque"/>
    </w:rPr>
  </w:style>
  <w:style w:type="paragraph" w:styleId="Heading2">
    <w:name w:val="heading 2"/>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3">
    <w:name w:val="heading 3"/>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00" w:line="264" w:lineRule="auto"/>
    </w:pPr>
    <w:rPr>
      <w:color w:val="f66359"/>
      <w:sz w:val="32"/>
      <w:szCs w:val="32"/>
      <w:rFonts w:ascii="Switzer" w:hAnsi="Switzer" w:cs="Switzer" w:eastAsia="Switzer"/>
    </w:rPr>
  </w:style>
  <w:style w:type="paragraph" w:styleId="Subtitle">
    <w:name w:val="Subtitle"/>
    <w:basedOn w:val="Normal"/>
    <w:next w:val="Normal"/>
    <w:pPr>
      <w:keepNext w:val="1"/>
      <w:keepLines w:val="1"/>
      <w:spacing w:after="0" w:before="120" w:lineRule="auto"/>
    </w:pPr>
    <w:rPr>
      <w:sz w:val="26"/>
      <w:szCs w:val="26"/>
      <w:rFonts w:ascii="Pastiche Grotesque" w:hAnsi="Pastiche Grotesque" w:cs="Pastiche Grotesque" w:eastAsia="Pastiche Grotesqu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