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jpeg" Extension="jpg"/>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02.60 SENIOR’S FINAL CHECKLIST</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6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provide the senior member of the engagement team with a comprehensive checklist to confirm that all audit procedures have been completed, all documentation requirements have been met, and all relevant matters have been appropriately addressed before finalising the engagement.</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First-level quality assurance review of completed audit work (ISA 220)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Verification that all audit procedures have been completed, documented, and audit objectives met</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Confirmation that all required communications and representations have been obtained</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6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02.60 – Senior’s Final Checklist can be found in the Finalisation folder in the Caseware document manager.</ns0:t>
      </ns0:r>
    </ns0:p>
    <ns0:p ns0:rsidR="00AB0001" ns0:rsidRDefault="00AB0001">
      <ns0:pPr>
        <ns0:jc ns0:val="center"/>
        <ns0:rPr/>
      </ns0:pPr>
      <ns0:r>
        <ns0:rPr/>
        <ns0:drawing>
          <ns2:inline distT="0" distB="0" distL="0" distR="0">
            <ns2:extent cx="4572000" cy="3457397"/>
            <ns2:effectExtent l="0" t="0" r="0" b="0"/>
            <ns2:docPr id="901" name="Bookmark 02.60" descr="Bookmark placement for 02.60"/>
            <ns2:cNvGraphicFramePr>
              <ns3:graphicFrameLocks noChangeAspect="1"/>
            </ns2:cNvGraphicFramePr>
            <ns3:graphic>
              <ns3:graphicData uri="http://schemas.openxmlformats.org/drawingml/2006/picture">
                <ns4:pic>
                  <ns4:nvPicPr>
                    <ns4:cNvPr id="901" name="Bookmark 02.60" descr="Bookmark placement for 02.60"/>
                    <ns4:cNvPicPr/>
                  </ns4:nvPicPr>
                  <ns4:blipFill>
                    <ns3:blip ns5:embed="rId9"/>
                    <ns3:stretch>
                      <ns3:fillRect/>
                    </ns3:stretch>
                  </ns4:blipFill>
                  <ns4:spPr>
                    <ns3:xfrm>
                      <ns3:off x="0" y="0"/>
                      <ns3:ext cx="4572000" cy="3457397"/>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6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checklist type document that provides the senior member of the engagement team with 52 considerations to confirm that all audit procedures, documentation requirements, and reporting obligations have been completed before finalising the engagement.</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checklist covers a wide range of ISA requirements including ISA 200 (Overall Objectives), ISA 210 (Agreeing the Terms), ISA 230 (Audit Documentation), ISA 240 (Fraud), ISA 250 (Laws and Regulations), ISA 260 (Communication with Those Charged with Governance), ISA 315 (Identifying and Assessing Risks), ISA 320 (Materiality), ISA 330 (Responses to Assessed Risks), ISA 450 (Evaluation of Misstatements), ISA 500 (Audit Evidence), ISA 520 (Analytical Procedures), ISA 560 (Subsequent Events), ISA 570 (Going Concern), ISA 580 (Written Representations), and ISA 700 (Forming an Opinion).</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in completing the senior’s final checklist:</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Considerations</ns0:t>
      </ns0:r>
    </ns0:p>
    <ns0:p ns0:rsidR="00000000" ns0:rsidDel="00000000" ns0:rsidP="00000000" ns0:rsidRDefault="00000000" ns0:rsidRPr="00000000" ns1:paraId="00000011">
      <ns0:pPr>
        <ns0:jc ns0:val="center"/>
        <ns0:rPr>
          <ns0:i ns0:val="1"/>
          <ns0:color ns0:val="808080"/>
        </ns0:rPr>
      </ns0:pPr>
      <ns0:r>
        <ns0:rPr>
          <ns0:i ns0:val="1"/>
          <ns0:color ns0:val="808080"/>
          <ns0:rtl ns0:val="0"/>
        </ns0:rPr>
        <ns0:t xml:space="preserve">[Screenshot: Document map showing bookmarks]</ns0:t>
      </ns0:r>
    </ns0:p>
    <ns0:p ns0:rsidR="00000000" ns0:rsidDel="00000000" ns0:rsidP="00000000" ns0:rsidRDefault="00000000" ns0:rsidRPr="00000000" ns1:paraId="00000012">
      <ns0:pPr>
        <ns0:pStyle ns0:val="Heading1"/>
      </ns0:pPr>
      <ns0:bookmarkStart ns0:colFirst="0" ns0:colLast="0" ns0:name="_layout026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3">
        <ns0:tc>
          <ns0:tcPr>
            <ns0:tcW ns0:w="2580" ns0:type="dxa"/>
          </ns0:tcPr>
          <ns0:p ns1:paraId="00000014">
            <ns0:pPr>
              <ns0:rPr>
                <ns0:b ns0:val="1"/>
                <ns0:color ns0:val="FFFFFF"/>
              </ns0:rPr>
            </ns0:pPr>
            <ns0:r>
              <ns0:rPr>
                <ns0:b ns0:val="1"/>
              </ns0:rPr>
              <ns0:t>Column</ns0:t>
            </ns0:r>
          </ns0:p>
        </ns0:tc>
        <ns0:tc>
          <ns0:tcPr>
            <ns0:tcW ns0:w="3645" ns0:type="dxa"/>
          </ns0:tcPr>
          <ns0:p ns1:paraId="00000015">
            <ns0:pPr>
              <ns0:rPr>
                <ns0:b ns0:val="1"/>
                <ns0:color ns0:val="FFFFFF"/>
              </ns0:rPr>
            </ns0:pPr>
            <ns0:r>
              <ns0:rPr>
                <ns0:b ns0:val="1"/>
              </ns0:rPr>
              <ns0:t>Input Required</ns0:t>
            </ns0:r>
          </ns0:p>
        </ns0:tc>
        <ns0:tc>
          <ns0:tcPr>
            <ns0:tcW ns0:w="3885" ns0:type="dxa"/>
          </ns0:tcPr>
          <ns0:p ns1:paraId="00000016">
            <ns0:pPr>
              <ns0:rPr>
                <ns0:b ns0:val="1"/>
                <ns0:color ns0:val="FFFFFF"/>
              </ns0:rPr>
            </ns0:pPr>
            <ns0:r>
              <ns0:rPr>
                <ns0:b ns0:val="1"/>
              </ns0:rPr>
              <ns0:t>Outcome</ns0:t>
            </ns0:r>
          </ns0:p>
        </ns0:tc>
      </ns0:tr>
      <ns0:tr ns1:paraId="00000017">
        <ns0:tc>
          <ns0:tcPr>
            <ns0:tcW ns0:w="10110" ns0:type="dxa"/>
            <ns0:gridSpan ns0:val="3"/>
          </ns0:tcPr>
          <ns0:p ns1:paraId="00000018">
            <ns0:pPr>
              <ns0:jc ns0:val="center"/>
              <ns0:rPr>
                <ns0:b ns0:val="1"/>
                <ns0:color ns0:val="FFFFFF"/>
              </ns0:rPr>
            </ns0:pPr>
            <ns0:r>
              <ns0:rPr>
                <ns0:b ns0:val="1"/>
              </ns0:rPr>
              <ns0:t>Considerations</ns0:t>
            </ns0:r>
          </ns0:p>
        </ns0:tc>
      </ns0:tr>
      <ns0:tr ns1:paraId="00000019">
        <ns0:tc>
          <ns0:tcPr>
            <ns0:tcW ns0:w="2580" ns0:type="dxa"/>
          </ns0:tcPr>
          <ns0:p ns1:paraId="0000001A">
            <ns0:pPr>
              <ns0:rPr>
                <ns0:b ns0:val="1"/>
              </ns0:rPr>
            </ns0:pPr>
            <ns0:r>
              <ns0:rPr>
                <ns0:b ns0:val="1"/>
              </ns0:rPr>
              <ns0:t>Considerations</ns0:t>
            </ns0:r>
          </ns0:p>
        </ns0:tc>
        <ns0:tc>
          <ns0:tcPr>
            <ns0:tcW ns0:w="3645" ns0:type="dxa"/>
          </ns0:tcPr>
          <ns0:p ns1:paraId="0000001B">
            <ns0:r>
              <ns0:t xml:space="preserve">No input is required in this column. The considerations are pre-populated and present 52 questions covering all aspects of the audit that the senior member of the engagement team must confirm have been completed. The questions address contracts and agreements, compliance with laws and regulations, internal control deficiencies, audit programs, opening balances, financial statement presentation, representations, misstatements, subsequent events, going concern, documentation, fraud, and file assembly.</ns0:t>
            </ns0:r>
          </ns0:p>
        </ns0:tc>
        <ns0:tc>
          <ns0:tcPr>
            <ns0:tcW ns0:w="3885" ns0:type="dxa"/>
          </ns0:tcPr>
          <ns0:p ns1:paraId="0000001C">
            <ns0:r>
              <ns0:t xml:space="preserve">No impact on the engagement file. Documents the considerations to be confirmed by the senior member of the engagement team before finalising the engagement.</ns0:t>
            </ns0:r>
          </ns0:p>
        </ns0:tc>
      </ns0:tr>
      <ns0:tr ns1:paraId="0000001D">
        <ns0:tc>
          <ns0:tcPr>
            <ns0:tcW ns0:w="2580" ns0:type="dxa"/>
          </ns0:tcPr>
          <ns0:p ns1:paraId="0000001E">
            <ns0:pPr>
              <ns0:rPr>
                <ns0:b ns0:val="1"/>
              </ns0:rPr>
            </ns0:pPr>
            <ns0:r>
              <ns0:rPr>
                <ns0:b ns0:val="1"/>
              </ns0:rPr>
              <ns0:t>Yes/No</ns0:t>
            </ns0:r>
          </ns0:p>
        </ns0:tc>
        <ns0:tc>
          <ns0:tcPr>
            <ns0:tcW ns0:w="3645" ns0:type="dxa"/>
          </ns0:tcPr>
          <ns0:p ns1:paraId="0000001F">
            <ns0:r>
              <ns0:t xml:space="preserve">Select 'Yes' or 'No' to confirm whether each consideration has been addressed. All considerations should be answered 'Yes' before the engagement is finalised.</ns0:t>
            </ns0:r>
          </ns0:p>
        </ns0:tc>
        <ns0:tc>
          <ns0:tcPr>
            <ns0:tcW ns0:w="3885" ns0:type="dxa"/>
          </ns0:tcPr>
          <ns0:p ns1:paraId="00000020">
            <ns0:r>
              <ns0:t xml:space="preserve">No impact on the engagement file. Documents the senior’s confirmation that each consideration has been addressed.</ns0:t>
            </ns0:r>
          </ns0:p>
        </ns0:tc>
      </ns0:tr>
      <ns0:tr ns1:paraId="00000021">
        <ns0:tc>
          <ns0:tcPr>
            <ns0:tcW ns0:w="2580" ns0:type="dxa"/>
          </ns0:tcPr>
          <ns0:p ns1:paraId="00000022">
            <ns0:pPr>
              <ns0:rPr>
                <ns0:b ns0:val="1"/>
              </ns0:rPr>
            </ns0:pPr>
            <ns0:r>
              <ns0:rPr>
                <ns0:b ns0:val="1"/>
              </ns0:rPr>
              <ns0:t>Performed by</ns0:t>
            </ns0:r>
          </ns0:p>
        </ns0:tc>
        <ns0:tc>
          <ns0:tcPr>
            <ns0:tcW ns0:w="3645" ns0:type="dxa"/>
          </ns0:tcPr>
          <ns0:p ns1:paraId="00000023">
            <ns0:r>
              <ns0:t xml:space="preserve">Enter the name or initials of the engagement team member who confirmed each consideration and the date of confirmation.</ns0:t>
            </ns0:r>
          </ns0:p>
        </ns0:tc>
        <ns0:tc>
          <ns0:tcPr>
            <ns0:tcW ns0:w="3885" ns0:type="dxa"/>
          </ns0:tcPr>
          <ns0:p ns1:paraId="00000024">
            <ns0:r>
              <ns0:t xml:space="preserve">No impact on the engagement file. Records who confirmed each consideration and when it was confirmed.</ns0:t>
            </ns0:r>
          </ns0:p>
        </ns0:tc>
      </ns0:tr>
      <ns0:tr ns1:paraId="00000025">
        <ns0:tc>
          <ns0:tcPr>
            <ns0:tcW ns0:w="2580" ns0:type="dxa"/>
          </ns0:tcPr>
          <ns0:p ns1:paraId="00000026">
            <ns0:pPr>
              <ns0:rPr>
                <ns0:b ns0:val="1"/>
              </ns0:rPr>
            </ns0:pPr>
            <ns0:r>
              <ns0:rPr>
                <ns0:b ns0:val="1"/>
              </ns0:rPr>
              <ns0:t>Ref</ns0:t>
            </ns0:r>
          </ns0:p>
        </ns0:tc>
        <ns0:tc>
          <ns0:tcPr>
            <ns0:tcW ns0:w="3645" ns0:type="dxa"/>
          </ns0:tcPr>
          <ns0:p ns1:paraId="00000027">
            <ns0:r>
              <ns0:t xml:space="preserve">Enter a cross-reference to the relevant working paper or supporting documentation for each consideration.</ns0:t>
            </ns0:r>
          </ns0:p>
        </ns0:tc>
        <ns0:tc>
          <ns0:tcPr>
            <ns0:tcW ns0:w="3885" ns0:type="dxa"/>
          </ns0:tcPr>
          <ns0:p ns1:paraId="00000028">
            <ns0:r>
              <ns0:t xml:space="preserve">No impact on the engagement file. Documents the cross-reference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2A">
      <ns0:pPr>
        <ns0:pStyle ns0:val="Heading1"/>
      </ns0:pPr>
      <ns0:bookmarkStart ns0:colFirst="0" ns0:colLast="0" ns0:name="_docoutcomes0260" ns0:id="5"/>
      <ns0:bookmarkEnd ns0:id="5"/>
      <ns0:r>
        <ns0:rPr>
          <ns0:rtl ns0:val="0"/>
        </ns0:rPr>
        <ns0:t xml:space="preserve">Document outcomes</ns0:t>
      </ns0:r>
    </ns0:p>
    <ns0:p ns0:rsidR="00000000" ns0:rsidDel="00000000" ns0:rsidP="00000000" ns0:rsidRDefault="00000000" ns0:rsidRPr="00000000" ns1:paraId="0000002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senior member of the engagement team must confirm that all 52 considerations have been addressed by answering 'Yes' or 'No' to each question. All considerations should be answered 'Yes' before the engagement is finalised. Where a consideration is answered 'No', the engagement team must ensure that the matter is appropriately resolved before the engagement file is assembled and locked down. The checklist serves as evidence that the senior has reviewed all critical aspects of the engagement including compliance with ISAs, adequacy of documentation, communication with management and those charged with governance, and the appropriateness of the audit opinion.</ns0:t>
      </ns0:r>
    </ns0:p>
    <ns0:p ns0:rsidR="00000000" ns0:rsidDel="00000000" ns0:rsidP="00000000" ns0:rsidRDefault="00000000" ns0:rsidRPr="00000000" ns1:paraId="0000002C">
      <ns0:pPr>
        <ns0:rPr/>
      </ns0:pPr>
    </ns0:p>
    <ns0:p ns0:rsidR="00000000" ns0:rsidDel="00000000" ns0:rsidP="00000000" ns0:rsidRDefault="00000000" ns0:rsidRPr="00000000" ns1:paraId="0000002D">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2E">
      <ns0:pPr>
        <ns0:pStyle ns0:val="Heading1"/>
      </ns0:pPr>
      <ns0:bookmarkStart ns0:colFirst="0" ns0:colLast="0" ns0:name="_groupaudits0260" ns0:id="6"/>
      <ns0:bookmarkEnd ns0:id="6"/>
      <ns0:r>
        <ns0:rPr>
          <ns0:rtl ns0:val="0"/>
        </ns0:rPr>
        <ns0:t xml:space="preserve">Group Audits</ns0:t>
      </ns0:r>
    </ns0:p>
    <ns0:p ns0:rsidR="00000000" ns0:rsidDel="00000000" ns0:rsidP="00000000" ns0:rsidRDefault="00000000" ns0:rsidRPr="00000000" ns1:paraId="0000002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senior’s final checklist applies to the group engagement. The engagement team must ensure that all considerations are addressed in the context of the group audit, including the involvement of component auditors and the adequacy of group audit documentation.</ns0:t>
      </ns0:r>
    </ns0:p>
    <ns0:p ns0:rsidR="00000000" ns0:rsidDel="00000000" ns0:rsidP="00000000" ns0:rsidRDefault="00000000" ns0:rsidRPr="00000000" ns1:paraId="00000030">
      <ns0:pPr>
        <ns0:pStyle ns0:val="Heading1"/>
      </ns0:pPr>
      <ns0:bookmarkStart ns0:colFirst="0" ns0:colLast="0" ns0:name="_inconclusion0260" ns0:id="7"/>
      <ns0:bookmarkEnd ns0:id="7"/>
      <ns0:r>
        <ns0:rPr>
          <ns0:rtl ns0:val="0"/>
        </ns0:rPr>
        <ns0:t xml:space="preserve">IN CONCLUSION</ns0:t>
      </ns0:r>
    </ns0:p>
    <ns0:p ns0:rsidR="00000000" ns0:rsidDel="00000000" ns0:rsidP="00000000" ns0:rsidRDefault="00000000" ns0:rsidRPr="00000000" ns1:paraId="00000031">
      <ns0:pPr>
        <ns0:pStyle ns0:val="Heading1"/>
      </ns0:pPr>
      <ns0:bookmarkStart ns0:colFirst="0" ns0:colLast="0" ns0:name="_features0260" ns0:id="8"/>
      <ns0:bookmarkEnd ns0:id="8"/>
      <ns0:r>
        <ns0:rPr>
          <ns0:rtl ns0:val="0"/>
        </ns0:rPr>
        <ns0:t xml:space="preserve">Features</ns0:t>
      </ns0:r>
    </ns0:p>
    <ns0:p ns0:rsidR="00000000" ns0:rsidDel="00000000" ns0:rsidP="00000000" ns0:rsidRDefault="00000000" ns0:rsidRPr="00000000" ns1:paraId="0000003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3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3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3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36">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