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jpeg" Extension="jpg"/>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02.22 SUBORDINATION AGREEMENT WORK PROGRAM</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0222"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guide the engagement team through the audit procedures required to evaluate the validity, compliance, and adequacy of subordination agreements or letters of comfort / support obtained by the entity.</ns0:t>
      </ns0:r>
    </ns0:p>
    <ns0:p ns0:rsidR="00000000" ns0:rsidDel="00000000" ns0:rsidP="00000000" ns0:rsidRDefault="00000000" ns0:rsidRPr="00000000" ns1:paraId="00000006">
      <ns0:pPr>
        <ns0:rPr/>
      </ns0:pPr>
    </ns0:p>
    <ns0:p ns0:rsidR="00000000" ns0:rsidDel="00000000" ns0:rsidP="00000000" ns0:rsidRDefault="00000000" ns0:rsidRPr="00000000" ns1:paraId="1000026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68">
      <ns0:pPr>
        <ns0:numPr>
          <ns0:ilvl ns0:val="0"/>
          <ns0:numId ns0:val="1"/>
        </ns0:numPr>
        <ns0:ind ns0:left="360"/>
        <ns0:spacing ns0:before="0" ns0:after="0"/>
      </ns0:pPr>
      <ns0:r>
        <ns0:rPr>
          <ns0:b ns0:val="1"/>
          <ns0:bCs ns0:val="1"/>
          <ns0:rtl ns0:val="0"/>
        </ns0:rPr>
        <ns0:t xml:space="preserve">Validity and enforceability of subordination agreements supporting going concern (ISA 570)</ns0:t>
      </ns0:r>
    </ns0:p>
    <ns0:p ns0:rsidR="00000000" ns0:rsidDel="00000000" ns0:rsidP="00000000" ns0:rsidRDefault="00000000" ns0:rsidRPr="00000000" ns1:paraId="10000269">
      <ns0:pPr>
        <ns0:numPr>
          <ns0:ilvl ns0:val="0"/>
          <ns0:numId ns0:val="1"/>
        </ns0:numPr>
        <ns0:ind ns0:left="360"/>
        <ns0:spacing ns0:before="0" ns0:after="0"/>
      </ns0:pPr>
      <ns0:r>
        <ns0:rPr>
          <ns0:b ns0:val="1"/>
          <ns0:bCs ns0:val="1"/>
          <ns0:rtl ns0:val="0"/>
        </ns0:rPr>
        <ns0:t xml:space="preserve">Assessment of whether subordinated amounts are sufficient to restore commercial solvency</ns0:t>
      </ns0:r>
    </ns0:p>
    <ns0:p ns0:rsidR="00000000" ns0:rsidDel="00000000" ns0:rsidP="00000000" ns0:rsidRDefault="00000000" ns0:rsidRPr="00000000" ns1:paraId="1000026A">
      <ns0:pPr>
        <ns0:numPr>
          <ns0:ilvl ns0:val="0"/>
          <ns0:numId ns0:val="1"/>
        </ns0:numPr>
        <ns0:ind ns0:left="360"/>
        <ns0:spacing ns0:before="0" ns0:after="0"/>
      </ns0:pPr>
      <ns0:r>
        <ns0:rPr>
          <ns0:b ns0:val="1"/>
          <ns0:bCs ns0:val="1"/>
          <ns0:rtl ns0:val="0"/>
        </ns0:rPr>
        <ns0:t xml:space="preserve">Direct linkage of subordination agreement findings to the going concern conclusion in document 02.20</ns0:t>
      </ns0:r>
    </ns0:p>
    <ns0:p ns0:rsidR="00000000" ns0:rsidDel="00000000" ns0:rsidP="00000000" ns0:rsidRDefault="00000000" ns0:rsidRPr="00000000" ns1:paraId="1000026B">
      <ns0:pPr>
        <ns0:rPr/>
      </ns0:pPr>
    </ns0:p>
    <ns0:p ns0:rsidR="00000000" ns0:rsidDel="00000000" ns0:rsidP="00000000" ns0:rsidRDefault="00000000" ns0:rsidRPr="00000000" ns1:paraId="00000009">
      <ns0:pPr>
        <ns0:spacing ns0:after="0"/>
        <ns0:rPr/>
      </ns0:pPr>
      <ns0:bookmarkStart ns0:colFirst="0" ns0:colLast="0" ns0:name="_docplacement0222"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02.22 – Subordination agreement work program can be found in the Finalisation folder in the Caseware document manager.</ns0:t>
      </ns0:r>
    </ns0:p>
    <ns0:p ns0:rsidR="00AB0001" ns0:rsidRDefault="00AB0001">
      <ns0:pPr>
        <ns0:jc ns0:val="center"/>
        <ns0:rPr/>
      </ns0:pPr>
      <ns0:r>
        <ns0:rPr/>
        <ns0:drawing>
          <ns2:inline distT="0" distB="0" distL="0" distR="0">
            <ns2:extent cx="4572000" cy="3436033"/>
            <ns2:effectExtent l="0" t="0" r="0" b="0"/>
            <ns2:docPr id="901" name="Bookmark 02.22" descr="Bookmark placement for 02.22"/>
            <ns2:cNvGraphicFramePr>
              <ns3:graphicFrameLocks noChangeAspect="1"/>
            </ns2:cNvGraphicFramePr>
            <ns3:graphic>
              <ns3:graphicData uri="http://schemas.openxmlformats.org/drawingml/2006/picture">
                <ns4:pic>
                  <ns4:nvPicPr>
                    <ns4:cNvPr id="901" name="Bookmark 02.22" descr="Bookmark placement for 02.22"/>
                    <ns4:cNvPicPr/>
                  </ns4:nvPicPr>
                  <ns4:blipFill>
                    <ns3:blip ns5:embed="rId9"/>
                    <ns3:stretch>
                      <ns3:fillRect/>
                    </ns3:stretch>
                  </ns4:blipFill>
                  <ns4:spPr>
                    <ns3:xfrm>
                      <ns3:off x="0" y="0"/>
                      <ns3:ext cx="4572000" cy="3436033"/>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0222"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 CaseView work program with pre-populated audit procedures for evaluating subordination agreements or letters of comfort / support. The work program includes space for documenting exceptions, the person who performed the procedure, and cross-references.</ns0:t>
      </ns0:r>
    </ns0:p>
    <ns0:p ns0:rsidR="00000000" ns0:rsidDel="00000000" ns0:rsidP="00000000" ns0:rsidRDefault="00000000" ns0:rsidRPr="00000000" ns1:paraId="0000000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addresses ISA 570 (Going Concern) and ISA 250 (Consideration of Laws and Regulations in an Audit of Financial Statements) by providing a structured set of procedures for evaluating the validity, enforceability, and compliance of subordination agreements, and assessing the impact on the entity's going concern assessment and financial statement disclosures.</ns0:t>
      </ns0:r>
    </ns0:p>
    <ns0:p ns0:rsidR="00000000" ns0:rsidDel="00000000" ns0:rsidP="00000000" ns0:rsidRDefault="00000000" ns0:rsidRPr="00000000" ns1:paraId="0000000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divided into different bookmarks in the document map to assist you with navigation:</ns0:t>
      </ns0:r>
    </ns0:p>
    <ns0:p ns0:rsidR="00000000" ns0:rsidDel="00000000" ns0:rsidP="00000000" ns0:rsidRDefault="00000000" ns0:rsidRPr="00000000" ns1:paraId="0000001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Audit procedures</ns0:t>
      </ns0:r>
    </ns0:p>
    <ns0:p ns0:rsidR="00000000" ns0:rsidDel="00000000" ns0:rsidP="00000000" ns0:rsidRDefault="00000000" ns0:rsidRPr="00000000" ns1:paraId="00000011">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Conclusion</ns0:t>
      </ns0:r>
    </ns0:p>
    <ns0:p ns0:rsidR="00AB0002" ns0:rsidRDefault="00AB0002">
      <ns0:pPr>
        <ns0:jc ns0:val="center"/>
        <ns0:rPr/>
      </ns0:pPr>
      <ns0:r>
        <ns0:rPr/>
        <ns0:drawing>
          <ns2:inline distT="0" distB="0" distL="0" distR="0">
            <ns2:extent cx="4572000" cy="2838885"/>
            <ns2:effectExtent l="0" t="0" r="0" b="0"/>
            <ns2:docPr id="902" name="CaseView 02.22" descr="CaseView document map for 02.22"/>
            <ns2:cNvGraphicFramePr>
              <ns3:graphicFrameLocks noChangeAspect="1"/>
            </ns2:cNvGraphicFramePr>
            <ns3:graphic>
              <ns3:graphicData uri="http://schemas.openxmlformats.org/drawingml/2006/picture">
                <ns4:pic>
                  <ns4:nvPicPr>
                    <ns4:cNvPr id="902" name="CaseView 02.22" descr="CaseView document map for 02.22"/>
                    <ns4:cNvPicPr/>
                  </ns4:nvPicPr>
                  <ns4:blipFill>
                    <ns3:blip ns5:embed="rId10"/>
                    <ns3:stretch>
                      <ns3:fillRect/>
                    </ns3:stretch>
                  </ns4:blipFill>
                  <ns4:spPr>
                    <ns3:xfrm>
                      <ns3:off x="0" y="0"/>
                      <ns3:ext cx="4572000" cy="2838885"/>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13">
      <ns0:pPr>
        <ns0:pStyle ns0:val="Heading1"/>
      </ns0:pPr>
      <ns0:bookmarkStart ns0:colFirst="0" ns0:colLast="0" ns0:name="_layout0222"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14">
        <ns0:tc>
          <ns0:tcPr>
            <ns0:tcW ns0:w="2580" ns0:type="dxa"/>
          </ns0:tcPr>
          <ns0:p ns1:paraId="00000015">
            <ns0:pPr>
              <ns0:rPr>
                <ns0:b ns0:val="1"/>
                <ns0:color ns0:val="FFFFFF"/>
              </ns0:rPr>
            </ns0:pPr>
            <ns0:r>
              <ns0:rPr>
                <ns0:b ns0:val="1"/>
              </ns0:rPr>
              <ns0:t>Column</ns0:t>
            </ns0:r>
          </ns0:p>
        </ns0:tc>
        <ns0:tc>
          <ns0:tcPr>
            <ns0:tcW ns0:w="3645" ns0:type="dxa"/>
          </ns0:tcPr>
          <ns0:p ns1:paraId="00000016">
            <ns0:pPr>
              <ns0:rPr>
                <ns0:b ns0:val="1"/>
                <ns0:color ns0:val="FFFFFF"/>
              </ns0:rPr>
            </ns0:pPr>
            <ns0:r>
              <ns0:rPr>
                <ns0:b ns0:val="1"/>
              </ns0:rPr>
              <ns0:t>Input Required</ns0:t>
            </ns0:r>
          </ns0:p>
        </ns0:tc>
        <ns0:tc>
          <ns0:tcPr>
            <ns0:tcW ns0:w="3885" ns0:type="dxa"/>
          </ns0:tcPr>
          <ns0:p ns1:paraId="00000017">
            <ns0:pPr>
              <ns0:rPr>
                <ns0:b ns0:val="1"/>
                <ns0:color ns0:val="FFFFFF"/>
              </ns0:rPr>
            </ns0:pPr>
            <ns0:r>
              <ns0:rPr>
                <ns0:b ns0:val="1"/>
              </ns0:rPr>
              <ns0:t>Outcome</ns0:t>
            </ns0:r>
          </ns0:p>
        </ns0:tc>
      </ns0:tr>
      <ns0:tr ns1:paraId="00000018">
        <ns0:tc>
          <ns0:tcPr>
            <ns0:tcW ns0:w="10110" ns0:type="dxa"/>
            <ns0:gridSpan ns0:val="3"/>
          </ns0:tcPr>
          <ns0:p ns1:paraId="00000019">
            <ns0:pPr>
              <ns0:jc ns0:val="center"/>
              <ns0:rPr>
                <ns0:b ns0:val="1"/>
                <ns0:color ns0:val="FFFFFF"/>
              </ns0:rPr>
            </ns0:pPr>
            <ns0:r>
              <ns0:rPr>
                <ns0:b ns0:val="1"/>
              </ns0:rPr>
              <ns0:t>Audit procedures</ns0:t>
            </ns0:r>
          </ns0:p>
        </ns0:tc>
      </ns0:tr>
      <ns0:tr ns1:paraId="0000001A">
        <ns0:tc>
          <ns0:tcPr>
            <ns0:tcW ns0:w="2580" ns0:type="dxa"/>
          </ns0:tcPr>
          <ns0:p ns1:paraId="0000001B">
            <ns0:pPr>
              <ns0:rPr>
                <ns0:b ns0:val="1"/>
              </ns0:rPr>
            </ns0:pPr>
            <ns0:r>
              <ns0:rPr>
                <ns0:b ns0:val="1"/>
              </ns0:rPr>
              <ns0:t>Audit procedures</ns0:t>
            </ns0:r>
          </ns0:p>
        </ns0:tc>
        <ns0:tc>
          <ns0:tcPr>
            <ns0:tcW ns0:w="3645" ns0:type="dxa"/>
          </ns0:tcPr>
          <ns0:p ns1:paraId="0000001C">
            <ns0:r>
              <ns0:t xml:space="preserve">No input is required in this column. Displays 13 numbered audit procedures for evaluating subordination agreements or letters of comfort / support. The procedures address compiling a list of all creditors, obtaining reasons for subordination, validating the agreements, determining legal entitlement, assessing creditor solvency, confirming compliance with agreement clauses, evaluating non-resident creditor requirements, and confirming adequate financial statement disclosure.</ns0:t>
            </ns0:r>
          </ns0:p>
        </ns0:tc>
        <ns0:tc>
          <ns0:tcPr>
            <ns0:tcW ns0:w="3885" ns0:type="dxa"/>
          </ns0:tcPr>
          <ns0:p ns1:paraId="0000001D">
            <ns0:r>
              <ns0:t xml:space="preserve">No impact on the engagement file. Provides the structured work program for the engagement team to evaluate subordination agreements.</ns0:t>
            </ns0:r>
          </ns0:p>
        </ns0:tc>
      </ns0:tr>
      <ns0:tr ns1:paraId="0000001E">
        <ns0:tc>
          <ns0:tcPr>
            <ns0:tcW ns0:w="2580" ns0:type="dxa"/>
          </ns0:tcPr>
          <ns0:p ns1:paraId="0000001F">
            <ns0:pPr>
              <ns0:rPr>
                <ns0:b ns0:val="1"/>
              </ns0:rPr>
            </ns0:pPr>
            <ns0:r>
              <ns0:rPr>
                <ns0:b ns0:val="1"/>
              </ns0:rPr>
              <ns0:t>Exceptions</ns0:t>
            </ns0:r>
          </ns0:p>
        </ns0:tc>
        <ns0:tc>
          <ns0:tcPr>
            <ns0:tcW ns0:w="3645" ns0:type="dxa"/>
          </ns0:tcPr>
          <ns0:p ns1:paraId="00000020">
            <ns0:r>
              <ns0:t xml:space="preserve">Enter any exceptions or findings identified during the performance of each audit procedure.</ns0:t>
            </ns0:r>
          </ns0:p>
        </ns0:tc>
        <ns0:tc>
          <ns0:tcPr>
            <ns0:tcW ns0:w="3885" ns0:type="dxa"/>
          </ns0:tcPr>
          <ns0:p ns1:paraId="00000021">
            <ns0:r>
              <ns0:t xml:space="preserve">No impact on the engagement file. Documents the exceptions identified for the engagement file.</ns0:t>
            </ns0:r>
          </ns0:p>
        </ns0:tc>
      </ns0:tr>
      <ns0:tr ns1:paraId="00000022">
        <ns0:tc>
          <ns0:tcPr>
            <ns0:tcW ns0:w="2580" ns0:type="dxa"/>
          </ns0:tcPr>
          <ns0:p ns1:paraId="00000023">
            <ns0:pPr>
              <ns0:rPr>
                <ns0:b ns0:val="1"/>
              </ns0:rPr>
            </ns0:pPr>
            <ns0:r>
              <ns0:rPr>
                <ns0:b ns0:val="1"/>
              </ns0:rPr>
              <ns0:t>Performed by</ns0:t>
            </ns0:r>
          </ns0:p>
        </ns0:tc>
        <ns0:tc>
          <ns0:tcPr>
            <ns0:tcW ns0:w="3645" ns0:type="dxa"/>
          </ns0:tcPr>
          <ns0:p ns1:paraId="00000024">
            <ns0:r>
              <ns0:t xml:space="preserve">Enter the name or initials of the engagement team member who performed the procedure.</ns0:t>
            </ns0:r>
          </ns0:p>
        </ns0:tc>
        <ns0:tc>
          <ns0:tcPr>
            <ns0:tcW ns0:w="3885" ns0:type="dxa"/>
          </ns0:tcPr>
          <ns0:p ns1:paraId="00000025">
            <ns0:r>
              <ns0:t xml:space="preserve">No impact on the engagement file. Records the person who performed each procedure for the engagement file.</ns0:t>
            </ns0:r>
          </ns0:p>
        </ns0:tc>
      </ns0:tr>
      <ns0:tr ns1:paraId="00000026">
        <ns0:tc>
          <ns0:tcPr>
            <ns0:tcW ns0:w="2580" ns0:type="dxa"/>
          </ns0:tcPr>
          <ns0:p ns1:paraId="00000027">
            <ns0:pPr>
              <ns0:rPr>
                <ns0:b ns0:val="1"/>
              </ns0:rPr>
            </ns0:pPr>
            <ns0:r>
              <ns0:rPr>
                <ns0:b ns0:val="1"/>
              </ns0:rPr>
              <ns0:t>Ref.</ns0:t>
            </ns0:r>
          </ns0:p>
        </ns0:tc>
        <ns0:tc>
          <ns0:tcPr>
            <ns0:tcW ns0:w="3645" ns0:type="dxa"/>
          </ns0:tcPr>
          <ns0:p ns1:paraId="00000028">
            <ns0:r>
              <ns0:t xml:space="preserve">Enter a cross-reference to the relevant working paper or supporting documentation for each procedure.</ns0:t>
            </ns0:r>
          </ns0:p>
        </ns0:tc>
        <ns0:tc>
          <ns0:tcPr>
            <ns0:tcW ns0:w="3885" ns0:type="dxa"/>
          </ns0:tcPr>
          <ns0:p ns1:paraId="00000029">
            <ns0:r>
              <ns0:t xml:space="preserve">No impact on the engagement file. Documents the cross-reference for the engagement file.</ns0:t>
            </ns0:r>
          </ns0:p>
        </ns0:tc>
      </ns0:tr>
      <ns0:tr ns1:paraId="0000002A">
        <ns0:tc>
          <ns0:tcPr>
            <ns0:tcW ns0:w="10110" ns0:type="dxa"/>
            <ns0:gridSpan ns0:val="3"/>
          </ns0:tcPr>
          <ns0:p ns1:paraId="0000002B">
            <ns0:pPr>
              <ns0:jc ns0:val="center"/>
              <ns0:rPr>
                <ns0:b ns0:val="1"/>
                <ns0:color ns0:val="FFFFFF"/>
              </ns0:rPr>
            </ns0:pPr>
            <ns0:r>
              <ns0:rPr>
                <ns0:b ns0:val="1"/>
              </ns0:rPr>
              <ns0:t>Conclusion</ns0:t>
            </ns0:r>
          </ns0:p>
        </ns0:tc>
      </ns0:tr>
      <ns0:tr ns1:paraId="0000002C">
        <ns0:tc>
          <ns0:tcPr>
            <ns0:tcW ns0:w="2580" ns0:type="dxa"/>
          </ns0:tcPr>
          <ns0:p ns1:paraId="0000002D">
            <ns0:pPr>
              <ns0:rPr>
                <ns0:b ns0:val="1"/>
              </ns0:rPr>
            </ns0:pPr>
            <ns0:r>
              <ns0:rPr>
                <ns0:b ns0:val="1"/>
              </ns0:rPr>
              <ns0:t>Conclusion questions</ns0:t>
            </ns0:r>
          </ns0:p>
        </ns0:tc>
        <ns0:tc>
          <ns0:tcPr>
            <ns0:tcW ns0:w="3645" ns0:type="dxa"/>
          </ns0:tcPr>
          <ns0:p ns1:paraId="0000002E">
            <ns0:r>
              <ns0:t xml:space="preserve">No input is required in this column. Displays three pre-populated conclusion questions addressing: (1) whether the results indicate non-compliance with a subordination agreement, (2) whether the company is continuing to trade without reasonable expectation of meeting its liabilities and whether this is likely to cause financial loss, and (3) whether the existence of the agreement did not justify the adoption of a going concern basis of accounting.</ns0:t>
            </ns0:r>
          </ns0:p>
        </ns0:tc>
        <ns0:tc>
          <ns0:tcPr>
            <ns0:tcW ns0:w="3885" ns0:type="dxa"/>
          </ns0:tcPr>
          <ns0:p ns1:paraId="0000002F">
            <ns0:r>
              <ns0:t xml:space="preserve">No impact on the engagement file. Provides the conclusion framework for the engagement team's evaluation of the subordination agreement procedures.</ns0:t>
            </ns0:r>
          </ns0:p>
        </ns0:tc>
      </ns0:tr>
      <ns0:tr ns1:paraId="00000030">
        <ns0:tc>
          <ns0:tcPr>
            <ns0:tcW ns0:w="2580" ns0:type="dxa"/>
          </ns0:tcPr>
          <ns0:p ns1:paraId="00000031">
            <ns0:pPr>
              <ns0:rPr>
                <ns0:b ns0:val="1"/>
              </ns0:rPr>
            </ns0:pPr>
            <ns0:r>
              <ns0:rPr>
                <ns0:b ns0:val="1"/>
              </ns0:rPr>
              <ns0:t>Exceptions</ns0:t>
            </ns0:r>
          </ns0:p>
        </ns0:tc>
        <ns0:tc>
          <ns0:tcPr>
            <ns0:tcW ns0:w="3645" ns0:type="dxa"/>
          </ns0:tcPr>
          <ns0:p ns1:paraId="00000032">
            <ns0:r>
              <ns0:t xml:space="preserve">Enter any exceptions or findings relating to each conclusion question.</ns0:t>
            </ns0:r>
          </ns0:p>
        </ns0:tc>
        <ns0:tc>
          <ns0:tcPr>
            <ns0:tcW ns0:w="3885" ns0:type="dxa"/>
          </ns0:tcPr>
          <ns0:p ns1:paraId="00000033">
            <ns0:r>
              <ns0:t xml:space="preserve">No impact on the engagement file. Documents the engagement team's exceptions for each conclusion question.</ns0:t>
            </ns0:r>
          </ns0:p>
        </ns0:tc>
      </ns0:tr>
      <ns0:tr ns1:paraId="00000034">
        <ns0:tc>
          <ns0:tcPr>
            <ns0:tcW ns0:w="2580" ns0:type="dxa"/>
          </ns0:tcPr>
          <ns0:p ns1:paraId="00000035">
            <ns0:pPr>
              <ns0:rPr>
                <ns0:b ns0:val="1"/>
              </ns0:rPr>
            </ns0:pPr>
            <ns0:r>
              <ns0:rPr>
                <ns0:b ns0:val="1"/>
              </ns0:rPr>
              <ns0:t>Performed by</ns0:t>
            </ns0:r>
          </ns0:p>
        </ns0:tc>
        <ns0:tc>
          <ns0:tcPr>
            <ns0:tcW ns0:w="3645" ns0:type="dxa"/>
          </ns0:tcPr>
          <ns0:p ns1:paraId="00000036">
            <ns0:r>
              <ns0:t xml:space="preserve">Enter the name or initials of the engagement team member who evaluated each conclusion question.</ns0:t>
            </ns0:r>
          </ns0:p>
        </ns0:tc>
        <ns0:tc>
          <ns0:tcPr>
            <ns0:tcW ns0:w="3885" ns0:type="dxa"/>
          </ns0:tcPr>
          <ns0:p ns1:paraId="00000037">
            <ns0:r>
              <ns0:t xml:space="preserve">No impact on the engagement file. Records the person who evaluated each conclusion question for the engagement file.</ns0:t>
            </ns0:r>
          </ns0:p>
        </ns0:tc>
      </ns0:tr>
      <ns0:tr ns1:paraId="00000038">
        <ns0:tc>
          <ns0:tcPr>
            <ns0:tcW ns0:w="2580" ns0:type="dxa"/>
          </ns0:tcPr>
          <ns0:p ns1:paraId="00000039">
            <ns0:pPr>
              <ns0:rPr>
                <ns0:b ns0:val="1"/>
              </ns0:rPr>
            </ns0:pPr>
            <ns0:r>
              <ns0:rPr>
                <ns0:b ns0:val="1"/>
              </ns0:rPr>
              <ns0:t>Ref.</ns0:t>
            </ns0:r>
          </ns0:p>
        </ns0:tc>
        <ns0:tc>
          <ns0:tcPr>
            <ns0:tcW ns0:w="3645" ns0:type="dxa"/>
          </ns0:tcPr>
          <ns0:p ns1:paraId="0000003A">
            <ns0:r>
              <ns0:t xml:space="preserve">Enter a cross-reference to the relevant working paper or supporting documentation for each conclusion question.</ns0:t>
            </ns0:r>
          </ns0:p>
        </ns0:tc>
        <ns0:tc>
          <ns0:tcPr>
            <ns0:tcW ns0:w="3885" ns0:type="dxa"/>
          </ns0:tcPr>
          <ns0:p ns1:paraId="0000003B">
            <ns0:r>
              <ns0:t xml:space="preserve">No impact on the engagement file. Documents the cross-reference for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3D">
      <ns0:pPr>
        <ns0:pStyle ns0:val="Heading1"/>
      </ns0:pPr>
      <ns0:bookmarkStart ns0:colFirst="0" ns0:colLast="0" ns0:name="_docoutcomes0222" ns0:id="5"/>
      <ns0:bookmarkEnd ns0:id="5"/>
      <ns0:r>
        <ns0:rPr>
          <ns0:rtl ns0:val="0"/>
        </ns0:rPr>
        <ns0:t xml:space="preserve">Document outcomes</ns0:t>
      </ns0:r>
    </ns0:p>
    <ns0:p ns0:rsidR="00000000" ns0:rsidDel="00000000" ns0:rsidP="00000000" ns0:rsidRDefault="00000000" ns0:rsidRPr="00000000" ns1:paraId="0000003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perform the 13 audit procedures and document their exceptions, the person who performed each procedure, and cross-references. The procedures cover compiling creditor lists, obtaining reasons for subordination, validating the agreements, determining legal entitlement, assessing creditor ability to honour terms, evaluating the adequacy of the subordinated amount, assessing creditor solvency, confirming compliance with agreement clauses, evaluating non-resident creditor requirements, ensuring the agreement is on file, and confirming adequate financial statement disclosure.</ns0:t>
      </ns0:r>
    </ns0:p>
    <ns0:p ns0:rsidR="00000000" ns0:rsidDel="00000000" ns0:rsidP="00000000" ns0:rsidRDefault="00000000" ns0:rsidRPr="00000000" ns1:paraId="0000003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evaluate the three conclusion questions to determine whether the results of the procedures indicate non-compliance with a subordination agreement, whether the company is continuing to trade without reasonable expectation of meeting its liabilities, and whether the existence of the agreement justifies the adoption of a going concern basis of accounting.</ns0:t>
      </ns0:r>
    </ns0:p>
    <ns0:p ns0:rsidR="00000000" ns0:rsidDel="00000000" ns0:rsidP="00000000" ns0:rsidRDefault="00000000" ns0:rsidRPr="00000000" ns1:paraId="00000040">
      <ns0:pPr>
        <ns0:rPr/>
      </ns0:pPr>
    </ns0:p>
    <ns0:p ns0:rsidR="00000000" ns0:rsidDel="00000000" ns0:rsidP="00000000" ns0:rsidRDefault="00000000" ns0:rsidRPr="00000000" ns1:paraId="00000041">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42">
      <ns0:pPr>
        <ns0:pStyle ns0:val="Heading1"/>
      </ns0:pPr>
      <ns0:bookmarkStart ns0:colFirst="0" ns0:colLast="0" ns0:name="_groupaudits0222" ns0:id="6"/>
      <ns0:bookmarkEnd ns0:id="6"/>
      <ns0:r>
        <ns0:rPr>
          <ns0:rtl ns0:val="0"/>
        </ns0:rPr>
        <ns0:t xml:space="preserve">Group Audits</ns0:t>
      </ns0:r>
    </ns0:p>
    <ns0:p ns0:rsidR="00000000" ns0:rsidDel="00000000" ns0:rsidP="00000000" ns0:rsidRDefault="00000000" ns0:rsidRPr="00000000" ns1:paraId="00000043">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the subordination agreement work program applies to the group engagement. The engagement team must evaluate subordination agreements at both the group and component level and consider the impact on the group's going concern assessment.</ns0:t>
      </ns0:r>
    </ns0:p>
    <ns0:p ns0:rsidR="00000000" ns0:rsidDel="00000000" ns0:rsidP="00000000" ns0:rsidRDefault="00000000" ns0:rsidRPr="00000000" ns1:paraId="00000044">
      <ns0:pPr>
        <ns0:pStyle ns0:val="Heading1"/>
      </ns0:pPr>
      <ns0:bookmarkStart ns0:colFirst="0" ns0:colLast="0" ns0:name="_inconclusion0222" ns0:id="7"/>
      <ns0:bookmarkEnd ns0:id="7"/>
      <ns0:r>
        <ns0:rPr>
          <ns0:rtl ns0:val="0"/>
        </ns0:rPr>
        <ns0:t xml:space="preserve">IN CONCLUSION</ns0:t>
      </ns0:r>
    </ns0:p>
    <ns0:p ns0:rsidR="00000000" ns0:rsidDel="00000000" ns0:rsidP="00000000" ns0:rsidRDefault="00000000" ns0:rsidRPr="00000000" ns1:paraId="00000045">
      <ns0:pPr>
        <ns0:pStyle ns0:val="Heading1"/>
      </ns0:pPr>
      <ns0:bookmarkStart ns0:colFirst="0" ns0:colLast="0" ns0:name="_features0222" ns0:id="8"/>
      <ns0:bookmarkEnd ns0:id="8"/>
      <ns0:r>
        <ns0:rPr>
          <ns0:rtl ns0:val="0"/>
        </ns0:rPr>
        <ns0:t xml:space="preserve">Features</ns0:t>
      </ns0:r>
    </ns0:p>
    <ns0:p ns0:rsidR="00000000" ns0:rsidDel="00000000" ns0:rsidP="00000000" ns0:rsidRDefault="00000000" ns0:rsidRPr="00000000" ns1:paraId="00000046">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47">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48">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49">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4A">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