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Default ContentType="image/jpeg" Extension="jpg"/>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ns6="urn:schemas-microsoft-com:vml" xmlns:ns7="urn:schemas-microsoft-com:office:office">
  <ns0:body>
    <ns0:p ns0:rsidR="00000000" ns0:rsidDel="00000000" ns0:rsidP="00000000" ns0:rsidRDefault="00000000" ns0:rsidRPr="00000000" ns1:paraId="00000001">
      <ns0:pPr>
        <ns0:pStyle ns0:val="Title"/>
        <ns0:pBdr>
          <ns0:bottom ns0:val="single" ns0:sz="6" ns0:space="4" ns0:color="808080"/>
        </ns0:pBdr>
        <ns0:spacing ns0:after="0" ns0:lineRule="auto"/>
        <ns0:rPr/>
      </ns0:pPr>
      <ns0:r>
        <ns0:rPr>
          <ns0:rtl ns0:val="0"/>
        </ns0:rPr>
        <ns0:t xml:space="preserve">02.40 EVALUATION OF MISSTATEMENTS</ns0:t>
      </ns0:r>
    </ns0:p>
    <ns0:p ns0:rsidR="00000000" ns0:rsidDel="00000000" ns0:rsidP="00000000" ns0:rsidRDefault="00000000" ns0:rsidRPr="00000000" ns1:paraId="00000002">
      <ns0:pPr>
        <ns0:rPr/>
      </ns0:pPr>
    </ns0:p>
    <ns0:p ns0:rsidR="00000000" ns0:rsidDel="00000000" ns0:rsidP="00000000" ns0:rsidRDefault="00000000" ns0:rsidRPr="00000000" ns1:paraId="00000003">
      <ns0:pPr>
        <ns0:rPr/>
      </ns0:pPr>
      <ns0:r>
        <ns0:rPr>
          <ns0:rtl ns0:val="0"/>
        </ns0:rPr>
        <ns0:t xml:space="preserve">The following describes the functionality and features included in Probe Audit Premium+</ns0:t>
      </ns0:r>
    </ns0:p>
    <ns0:p ns0:rsidR="00000000" ns0:rsidDel="00000000" ns0:rsidP="00000000" ns0:rsidRDefault="00000000" ns0:rsidRPr="00000000" ns1:paraId="00000004">
      <ns0:pPr>
        <ns0:pStyle ns0:val="Heading1"/>
      </ns0:pPr>
      <ns0:bookmarkStart ns0:colFirst="0" ns0:colLast="0" ns0:name="_objective0240" ns0:id="1"/>
      <ns0:bookmarkEnd ns0:id="1"/>
      <ns0:r>
        <ns0:rPr>
          <ns0:rtl ns0:val="0"/>
        </ns0:rPr>
        <ns0:t xml:space="preserve">Objective</ns0:t>
      </ns0:r>
    </ns0:p>
    <ns0:p ns0:rsidR="00000000" ns0:rsidDel="00000000" ns0:rsidP="00000000" ns0:rsidRDefault="00000000" ns0:rsidRPr="00000000" ns1:paraId="00000005">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objective of this document is to reassess the materiality levels established during the planning stage and to evaluate the misstatements identified during the audit.</ns0:t>
      </ns0:r>
    </ns0:p>
    <ns0:p ns0:rsidR="00000000" ns0:rsidDel="00000000" ns0:rsidP="00000000" ns0:rsidRDefault="00000000" ns0:rsidRPr="00000000" ns1:paraId="00000006">
      <ns0:pPr>
        <ns0:rPr/>
      </ns0:pPr>
    </ns0:p>
    <ns0:p ns0:rsidR="00000000" ns0:rsidDel="00000000" ns0:rsidP="00000000" ns0:rsidRDefault="00000000" ns0:rsidRPr="00000000" ns1:paraId="10000247">
      <ns0:pPr>
        <ns0:pStyle ns0:val="Heading2"/>
        <ns0:spacing ns0:after="120" ns0:before="20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The following key concepts of the Probe Audit Premium+ Methodology are set in this document:</ns0:t>
      </ns0:r>
    </ns0:p>
    <ns0:p ns0:rsidR="00000000" ns0:rsidDel="00000000" ns0:rsidP="00000000" ns0:rsidRDefault="00000000" ns0:rsidRPr="00000000" ns1:paraId="10000248">
      <ns0:pPr>
        <ns0:numPr>
          <ns0:ilvl ns0:val="0"/>
          <ns0:numId ns0:val="1"/>
        </ns0:numPr>
        <ns0:ind ns0:left="360"/>
        <ns0:spacing ns0:before="0" ns0:after="0"/>
      </ns0:pPr>
      <ns0:r>
        <ns0:rPr>
          <ns0:b ns0:val="1"/>
          <ns0:bCs ns0:val="1"/>
          <ns0:rtl ns0:val="0"/>
        </ns0:rPr>
        <ns0:t xml:space="preserve">Reassessment of materiality based on final financial results (ISA 320)</ns0:t>
      </ns0:r>
    </ns0:p>
    <ns0:p ns0:rsidR="00000000" ns0:rsidDel="00000000" ns0:rsidP="00000000" ns0:rsidRDefault="00000000" ns0:rsidRPr="00000000" ns1:paraId="10000249">
      <ns0:pPr>
        <ns0:numPr>
          <ns0:ilvl ns0:val="0"/>
          <ns0:numId ns0:val="1"/>
        </ns0:numPr>
        <ns0:ind ns0:left="360"/>
        <ns0:spacing ns0:before="0" ns0:after="0"/>
      </ns0:pPr>
      <ns0:r>
        <ns0:rPr>
          <ns0:b ns0:val="1"/>
          <ns0:bCs ns0:val="1"/>
          <ns0:rtl ns0:val="0"/>
        </ns0:rPr>
        <ns0:t xml:space="preserve">Accumulation and evaluation of all identified misstatements - corrected and uncorrected (ISA 450)</ns0:t>
      </ns0:r>
    </ns0:p>
    <ns0:p ns0:rsidR="00000000" ns0:rsidDel="00000000" ns0:rsidP="00000000" ns0:rsidRDefault="00000000" ns0:rsidRPr="00000000" ns1:paraId="1000024A">
      <ns0:pPr>
        <ns0:numPr>
          <ns0:ilvl ns0:val="0"/>
          <ns0:numId ns0:val="1"/>
        </ns0:numPr>
        <ns0:ind ns0:left="360"/>
        <ns0:spacing ns0:before="0" ns0:after="0"/>
      </ns0:pPr>
      <ns0:r>
        <ns0:rPr>
          <ns0:b ns0:val="1"/>
          <ns0:bCs ns0:val="1"/>
          <ns0:rtl ns0:val="0"/>
        </ns0:rPr>
        <ns0:t xml:space="preserve">Determination of whether uncorrected misstatements are material to the financial statements</ns0:t>
      </ns0:r>
    </ns0:p>
    <ns0:p ns0:rsidR="00000000" ns0:rsidDel="00000000" ns0:rsidP="00000000" ns0:rsidRDefault="00000000" ns0:rsidRPr="00000000" ns1:paraId="1000024B">
      <ns0:pPr>
        <ns0:rPr/>
      </ns0:pPr>
    </ns0:p>
    <ns0:p ns0:rsidR="00000000" ns0:rsidDel="00000000" ns0:rsidP="00000000" ns0:rsidRDefault="00000000" ns0:rsidRPr="00000000" ns1:paraId="00000009">
      <ns0:pPr>
        <ns0:spacing ns0:after="0"/>
        <ns0:rPr/>
      </ns0:pPr>
      <ns0:bookmarkStart ns0:colFirst="0" ns0:colLast="0" ns0:name="_docplacement0240" ns0:id="2"/>
      <ns0:bookmarkEnd ns0:id="2"/>
      <ns0:r>
        <ns0:rPr>
          <ns0:rFonts ns0:ascii="Pastiche Grotesque" ns0:hAnsi="Pastiche Grotesque" ns0:cs="Pastiche Grotesque" ns0:eastAsia="Pastiche Grotesque"/>
          <ns0:b ns0:val="1"/>
          <ns0:color ns0:val="51626f"/>
          <ns0:sz ns0:val="26"/>
          <ns0:szCs ns0:val="26"/>
          <ns0:u ns0:val="none"/>
          <ns0:rtl ns0:val="0"/>
        </ns0:rPr>
        <ns0:t xml:space="preserve">Document placement</ns0:t>
      </ns0:r>
    </ns0:p>
    <ns0:p ns0:rsidR="00000000" ns0:rsidDel="00000000" ns0:rsidP="00000000" ns0:rsidRDefault="00000000" ns0:rsidRPr="00000000" ns1:paraId="0000000A">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Document 02.40 – Evaluation of misstatements can be found in the Finalisation folder in the Caseware document manager.</ns0:t>
      </ns0:r>
    </ns0:p>
    <ns0:p ns0:rsidR="00AB0001" ns0:rsidRDefault="00AB0001">
      <ns0:pPr>
        <ns0:jc ns0:val="center"/>
        <ns0:rPr/>
      </ns0:pPr>
      <ns0:r>
        <ns0:rPr/>
        <ns0:drawing>
          <ns2:inline distT="0" distB="0" distL="0" distR="0">
            <ns2:extent cx="4572000" cy="3479859"/>
            <ns2:effectExtent l="0" t="0" r="0" b="0"/>
            <ns2:docPr id="901" name="Bookmark 02.40" descr="Bookmark placement for 02.40"/>
            <ns2:cNvGraphicFramePr>
              <ns3:graphicFrameLocks noChangeAspect="1"/>
            </ns2:cNvGraphicFramePr>
            <ns3:graphic>
              <ns3:graphicData uri="http://schemas.openxmlformats.org/drawingml/2006/picture">
                <ns4:pic>
                  <ns4:nvPicPr>
                    <ns4:cNvPr id="901" name="Bookmark 02.40" descr="Bookmark placement for 02.40"/>
                    <ns4:cNvPicPr/>
                  </ns4:nvPicPr>
                  <ns4:blipFill>
                    <ns3:blip ns5:embed="rId9"/>
                    <ns3:stretch>
                      <ns3:fillRect/>
                    </ns3:stretch>
                  </ns4:blipFill>
                  <ns4:spPr>
                    <ns3:xfrm>
                      <ns3:off x="0" y="0"/>
                      <ns3:ext cx="4572000" cy="3479859"/>
                    </ns3:xfrm>
                    <ns3:prstGeom prst="rect">
                      <ns3:avLst/>
                    </ns3:prstGeom>
                    <ns3:ln w="12700">
                      <ns3:solidFill>
                        <ns3:srgbClr val="000000"/>
                      </ns3:solidFill>
                    </ns3:ln>
                  </ns4:spPr>
                </ns4:pic>
              </ns3:graphicData>
            </ns3:graphic>
          </ns2:inline>
        </ns0:drawing>
      </ns0:r>
    </ns0:p>
    <ns0:p ns0:rsidR="00000000" ns0:rsidDel="00000000" ns0:rsidP="00000000" ns0:rsidRDefault="00000000" ns0:rsidRPr="00000000" ns1:paraId="0000000C">
      <ns0:pPr>
        <ns0:pStyle ns0:val="Heading1"/>
      </ns0:pPr>
      <ns0:bookmarkStart ns0:colFirst="0" ns0:colLast="0" ns0:name="_doccontent0240" ns0:id="3"/>
      <ns0:bookmarkEnd ns0:id="3"/>
      <ns0:r>
        <ns0:rPr>
          <ns0:rtl ns0:val="0"/>
        </ns0:rPr>
        <ns0:t xml:space="preserve">Document content</ns0:t>
      </ns0:r>
    </ns0:p>
    <ns0:p ns0:rsidR="00000000" ns0:rsidDel="00000000" ns0:rsidP="00000000" ns0:rsidRDefault="00000000" ns0:rsidRPr="00000000" ns1:paraId="0000000D">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This document is designed to be an evaluation document that allows the engagement team to reassess materiality and evaluate the misstatements identified during the audit. The document presents five materiality bases with their applicable minimum and maximum percentage parameters and current year values, the overall materiality and performance materiality amounts set during the planning stage, and a conclusion regarding misstatements.</ns0:t>
      </ns0:r>
    </ns0:p>
    <ns0:p ns0:rsidR="00000000" ns0:rsidDel="00000000" ns0:rsidP="00000000" ns0:rsidRDefault="00000000" ns0:rsidRPr="00000000" ns1:paraId="0000000E">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document addresses the requirements of ISA 450 – Evaluation of Misstatements Identified During the Audit and ISA 320 – Materiality in Planning and Performing an Audit. The following bookmarks are available in the document map to assist you in navigating the document:</ns0:t>
      </ns0:r>
    </ns0:p>
    <ns0:p ns0:rsidR="00000000" ns0:rsidDel="00000000" ns0:rsidP="00000000" ns0:rsidRDefault="00000000" ns0:rsidRPr="00000000" ns1:paraId="0000000F">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Materiality reassessment</ns0:t>
      </ns0:r>
    </ns0:p>
    <ns0:p ns0:rsidR="00000000" ns0:rsidDel="00000000" ns0:rsidP="00000000" ns0:rsidRDefault="00000000" ns0:rsidRPr="00000000" ns1:paraId="00000010">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Conclusion regarding misstatements</ns0:t>
      </ns0:r>
    </ns0:p>
    <ns0:p ns0:rsidR="00AB0002" ns0:rsidRDefault="00AB0002">
      <ns0:pPr>
        <ns0:jc ns0:val="center"/>
        <ns0:rPr/>
      </ns0:pPr>
      <ns0:r>
        <ns0:rPr/>
        <ns0:drawing>
          <ns2:inline distT="0" distB="0" distL="0" distR="0">
            <ns2:extent cx="4572000" cy="2628570"/>
            <ns2:effectExtent l="0" t="0" r="0" b="0"/>
            <ns2:docPr id="902" name="CaseView 02.40" descr="CaseView document map for 02.40"/>
            <ns2:cNvGraphicFramePr>
              <ns3:graphicFrameLocks noChangeAspect="1"/>
            </ns2:cNvGraphicFramePr>
            <ns3:graphic>
              <ns3:graphicData uri="http://schemas.openxmlformats.org/drawingml/2006/picture">
                <ns4:pic>
                  <ns4:nvPicPr>
                    <ns4:cNvPr id="902" name="CaseView 02.40" descr="CaseView document map for 02.40"/>
                    <ns4:cNvPicPr/>
                  </ns4:nvPicPr>
                  <ns4:blipFill>
                    <ns3:blip ns5:embed="rId10"/>
                    <ns3:stretch>
                      <ns3:fillRect/>
                    </ns3:stretch>
                  </ns4:blipFill>
                  <ns4:spPr>
                    <ns3:xfrm>
                      <ns3:off x="0" y="0"/>
                      <ns3:ext cx="4572000" cy="2628570"/>
                    </ns3:xfrm>
                    <ns3:prstGeom prst="rect">
                      <ns3:avLst/>
                    </ns3:prstGeom>
                    <ns3:ln w="12700">
                      <ns3:solidFill>
                        <ns3:srgbClr val="000000"/>
                      </ns3:solidFill>
                    </ns3:ln>
                  </ns4:spPr>
                </ns4:pic>
              </ns3:graphicData>
            </ns3:graphic>
          </ns2:inline>
        </ns0:drawing>
      </ns0:r>
    </ns0:p>
    <ns0:p ns0:rsidR="00000000" ns0:rsidDel="00000000" ns0:rsidP="00000000" ns0:rsidRDefault="00000000" ns0:rsidRPr="00000000" ns1:paraId="00000012">
      <ns0:pPr>
        <ns0:pStyle ns0:val="Heading1"/>
      </ns0:pPr>
      <ns0:bookmarkStart ns0:colFirst="0" ns0:colLast="0" ns0:name="_layout0240" ns0:id="4"/>
      <ns0:bookmarkEnd ns0:id="4"/>
      <ns0:r>
        <ns0:rPr>
          <ns0:rtl ns0:val="0"/>
        </ns0:rPr>
        <ns0:t xml:space="preserve">Layout</ns0:t>
      </ns0:r>
    </ns0:p>
    <ns0:tbl>
      <ns0:tblPr>
        <ns0:tblStyle ns0:val="TableGrid"/>
        <ns0:tblW ns0:w="10110" ns0:type="dxa"/>
        <ns0:tblBorders>
          <ns0:top ns0:val="single" ns0:sz="8" ns0:space="0" ns0:color="auto"/>
          <ns0:left ns0:val="single" ns0:sz="8" ns0:space="0" ns0:color="auto"/>
          <ns0:bottom ns0:val="single" ns0:sz="8" ns0:space="0" ns0:color="auto"/>
          <ns0:right ns0:val="single" ns0:sz="8" ns0:space="0" ns0:color="auto"/>
          <ns0:insideH ns0:val="single" ns0:sz="8" ns0:space="0" ns0:color="auto"/>
          <ns0:insideV ns0:val="single" ns0:sz="8" ns0:space="0" ns0:color="auto"/>
        </ns0:tblBorders>
        <ns0:tblLayout ns0:type="fixed"/>
      </ns0:tblPr>
      <ns0:tblGrid>
        <ns0:gridCol ns0:w="2580"/>
        <ns0:gridCol ns0:w="3645"/>
        <ns0:gridCol ns0:w="3885"/>
      </ns0:tblGrid>
      <ns0:tr ns1:paraId="00000013">
        <ns0:tc>
          <ns0:tcPr>
            <ns0:tcW ns0:w="2580" ns0:type="dxa"/>
          </ns0:tcPr>
          <ns0:p ns1:paraId="00000014">
            <ns0:pPr>
              <ns0:rPr>
                <ns0:b ns0:val="1"/>
                <ns0:color ns0:val="FFFFFF"/>
              </ns0:rPr>
            </ns0:pPr>
            <ns0:r>
              <ns0:rPr>
                <ns0:b ns0:val="1"/>
              </ns0:rPr>
              <ns0:t>Column</ns0:t>
            </ns0:r>
          </ns0:p>
        </ns0:tc>
        <ns0:tc>
          <ns0:tcPr>
            <ns0:tcW ns0:w="3645" ns0:type="dxa"/>
          </ns0:tcPr>
          <ns0:p ns1:paraId="00000015">
            <ns0:pPr>
              <ns0:rPr>
                <ns0:b ns0:val="1"/>
                <ns0:color ns0:val="FFFFFF"/>
              </ns0:rPr>
            </ns0:pPr>
            <ns0:r>
              <ns0:rPr>
                <ns0:b ns0:val="1"/>
              </ns0:rPr>
              <ns0:t>Input Required</ns0:t>
            </ns0:r>
          </ns0:p>
        </ns0:tc>
        <ns0:tc>
          <ns0:tcPr>
            <ns0:tcW ns0:w="3885" ns0:type="dxa"/>
          </ns0:tcPr>
          <ns0:p ns1:paraId="00000016">
            <ns0:pPr>
              <ns0:rPr>
                <ns0:b ns0:val="1"/>
                <ns0:color ns0:val="FFFFFF"/>
              </ns0:rPr>
            </ns0:pPr>
            <ns0:r>
              <ns0:rPr>
                <ns0:b ns0:val="1"/>
              </ns0:rPr>
              <ns0:t>Outcome</ns0:t>
            </ns0:r>
          </ns0:p>
        </ns0:tc>
      </ns0:tr>
      <ns0:tr ns1:paraId="00000017">
        <ns0:tc>
          <ns0:tcPr>
            <ns0:tcW ns0:w="10110" ns0:type="dxa"/>
            <ns0:gridSpan ns0:val="3"/>
          </ns0:tcPr>
          <ns0:p ns1:paraId="00000018">
            <ns0:pPr>
              <ns0:jc ns0:val="center"/>
              <ns0:rPr>
                <ns0:b ns0:val="1"/>
                <ns0:color ns0:val="FFFFFF"/>
              </ns0:rPr>
            </ns0:pPr>
            <ns0:r>
              <ns0:rPr>
                <ns0:b ns0:val="1"/>
              </ns0:rPr>
              <ns0:t>Materiality reassessment</ns0:t>
            </ns0:r>
          </ns0:p>
        </ns0:tc>
      </ns0:tr>
      <ns0:tr ns1:paraId="00000019">
        <ns0:tc>
          <ns0:tcPr>
            <ns0:tcW ns0:w="2580" ns0:type="dxa"/>
          </ns0:tcPr>
          <ns0:p ns1:paraId="0000001A">
            <ns0:pPr>
              <ns0:rPr>
                <ns0:b ns0:val="1"/>
              </ns0:rPr>
            </ns0:pPr>
            <ns0:r>
              <ns0:rPr>
                <ns0:b ns0:val="1"/>
              </ns0:rPr>
              <ns0:t>Materiality base</ns0:t>
            </ns0:r>
          </ns0:p>
        </ns0:tc>
        <ns0:tc>
          <ns0:tcPr>
            <ns0:tcW ns0:w="3645" ns0:type="dxa"/>
          </ns0:tcPr>
          <ns0:p ns1:paraId="0000001B">
            <ns0:r>
              <ns0:t xml:space="preserve">No input is required in this column. Displays five pre-populated materiality assessment bases: (a) Revenue, (b) Net profit before tax, (c) Shareholders' equity, (d) Total assets, and (e) Total liabilities, with their corresponding minimum and maximum percentage parameters and current year values.</ns0:t>
            </ns0:r>
          </ns0:p>
        </ns0:tc>
        <ns0:tc>
          <ns0:tcPr>
            <ns0:tcW ns0:w="3885" ns0:type="dxa"/>
          </ns0:tcPr>
          <ns0:p ns1:paraId="0000001C">
            <ns0:r>
              <ns0:t xml:space="preserve">No impact on the engagement file. Identifies the available bases and percentage ranges for the materiality assessment.</ns0:t>
            </ns0:r>
          </ns0:p>
        </ns0:tc>
      </ns0:tr>
      <ns0:tr ns1:paraId="0000001D">
        <ns0:tc>
          <ns0:tcPr>
            <ns0:tcW ns0:w="2580" ns0:type="dxa"/>
          </ns0:tcPr>
          <ns0:p ns1:paraId="0000001E">
            <ns0:pPr>
              <ns0:rPr>
                <ns0:b ns0:val="1"/>
              </ns0:rPr>
            </ns0:pPr>
            <ns0:r>
              <ns0:rPr>
                <ns0:b ns0:val="1"/>
              </ns0:rPr>
              <ns0:t>Selection</ns0:t>
            </ns0:r>
          </ns0:p>
        </ns0:tc>
        <ns0:tc>
          <ns0:tcPr>
            <ns0:tcW ns0:w="3645" ns0:type="dxa"/>
          </ns0:tcPr>
          <ns0:p ns1:paraId="0000001F">
            <ns0:r>
              <ns0:t xml:space="preserve">Select the applicable materiality base by clicking the tick box next to the relevant base. Only one base should be selected.</ns0:t>
            </ns0:r>
          </ns0:p>
        </ns0:tc>
        <ns0:tc>
          <ns0:tcPr>
            <ns0:tcW ns0:w="3885" ns0:type="dxa"/>
          </ns0:tcPr>
          <ns0:p ns1:paraId="00000020">
            <ns0:r>
              <ns0:t xml:space="preserve">The overall materiality range is calculated based on the selected base and the applicable minimum and maximum percentage parameters. The calculated range is displayed below the materiality bases.</ns0:t>
            </ns0:r>
          </ns0:p>
        </ns0:tc>
      </ns0:tr>
      <ns0:tr ns1:paraId="00000021">
        <ns0:tc>
          <ns0:tcPr>
            <ns0:tcW ns0:w="2580" ns0:type="dxa"/>
          </ns0:tcPr>
          <ns0:p ns1:paraId="00000022">
            <ns0:pPr>
              <ns0:rPr>
                <ns0:b ns0:val="1"/>
              </ns0:rPr>
            </ns0:pPr>
            <ns0:r>
              <ns0:rPr>
                <ns0:b ns0:val="1"/>
              </ns0:rPr>
              <ns0:t>Overall materiality set during the planning stage</ns0:t>
            </ns0:r>
          </ns0:p>
        </ns0:tc>
        <ns0:tc>
          <ns0:tcPr>
            <ns0:tcW ns0:w="3645" ns0:type="dxa"/>
          </ns0:tcPr>
          <ns0:p ns1:paraId="00000023">
            <ns0:r>
              <ns0:t xml:space="preserve">No input is required in this column. Displays the overall materiality amount set during the planning stage of the engagement.</ns0:t>
            </ns0:r>
          </ns0:p>
        </ns0:tc>
        <ns0:tc>
          <ns0:tcPr>
            <ns0:tcW ns0:w="3885" ns0:type="dxa"/>
          </ns0:tcPr>
          <ns0:p ns1:paraId="00000024">
            <ns0:r>
              <ns0:t xml:space="preserve">No impact on the engagement file. Presents the planning-stage overall materiality for comparison during the reassessment.</ns0:t>
            </ns0:r>
          </ns0:p>
        </ns0:tc>
      </ns0:tr>
      <ns0:tr ns1:paraId="00000025">
        <ns0:tc>
          <ns0:tcPr>
            <ns0:tcW ns0:w="2580" ns0:type="dxa"/>
          </ns0:tcPr>
          <ns0:p ns1:paraId="00000026">
            <ns0:pPr>
              <ns0:rPr>
                <ns0:b ns0:val="1"/>
              </ns0:rPr>
            </ns0:pPr>
            <ns0:r>
              <ns0:rPr>
                <ns0:b ns0:val="1"/>
              </ns0:rPr>
              <ns0:t>Performance materiality set during the planning stage</ns0:t>
            </ns0:r>
          </ns0:p>
        </ns0:tc>
        <ns0:tc>
          <ns0:tcPr>
            <ns0:tcW ns0:w="3645" ns0:type="dxa"/>
          </ns0:tcPr>
          <ns0:p ns1:paraId="00000027">
            <ns0:r>
              <ns0:t xml:space="preserve">No input is required in this column. Displays the performance materiality amount set during the planning stage of the engagement.</ns0:t>
            </ns0:r>
          </ns0:p>
        </ns0:tc>
        <ns0:tc>
          <ns0:tcPr>
            <ns0:tcW ns0:w="3885" ns0:type="dxa"/>
          </ns0:tcPr>
          <ns0:p ns1:paraId="00000028">
            <ns0:r>
              <ns0:t xml:space="preserve">No impact on the engagement file. Presents the planning-stage performance materiality for comparison during the reassessment.</ns0:t>
            </ns0:r>
          </ns0:p>
        </ns0:tc>
      </ns0:tr>
      <ns0:tr ns1:paraId="00000029">
        <ns0:tc>
          <ns0:tcPr>
            <ns0:tcW ns0:w="2580" ns0:type="dxa"/>
          </ns0:tcPr>
          <ns0:p ns1:paraId="0000002A">
            <ns0:pPr>
              <ns0:rPr>
                <ns0:b ns0:val="1"/>
              </ns0:rPr>
            </ns0:pPr>
            <ns0:r>
              <ns0:rPr>
                <ns0:b ns0:val="1"/>
              </ns0:rPr>
              <ns0:t>Overall final materiality</ns0:t>
            </ns0:r>
          </ns0:p>
        </ns0:tc>
        <ns0:tc>
          <ns0:tcPr>
            <ns0:tcW ns0:w="3645" ns0:type="dxa"/>
          </ns0:tcPr>
          <ns0:p ns1:paraId="0000002B">
            <ns0:r>
              <ns0:t xml:space="preserve">No input is required in this column. Displays the calculated overall final materiality based on the selected materiality base and the percentage parameters.</ns0:t>
            </ns0:r>
          </ns0:p>
        </ns0:tc>
        <ns0:tc>
          <ns0:tcPr>
            <ns0:tcW ns0:w="3885" ns0:type="dxa"/>
          </ns0:tcPr>
          <ns0:p ns1:paraId="0000002C">
            <ns0:r>
              <ns0:t xml:space="preserve">Sets the final materiality amount for the engagement. The engagement team must confirm that the final materiality is appropriate.</ns0:t>
            </ns0:r>
          </ns0:p>
        </ns0:tc>
      </ns0:tr>
      <ns0:tr ns1:paraId="0000002D">
        <ns0:tc>
          <ns0:tcPr>
            <ns0:tcW ns0:w="2580" ns0:type="dxa"/>
          </ns0:tcPr>
          <ns0:p ns1:paraId="0000002E">
            <ns0:pPr>
              <ns0:rPr>
                <ns0:b ns0:val="1"/>
              </ns0:rPr>
            </ns0:pPr>
            <ns0:r>
              <ns0:rPr>
                <ns0:b ns0:val="1"/>
              </ns0:rPr>
              <ns0:t>Reason(s)</ns0:t>
            </ns0:r>
          </ns0:p>
        </ns0:tc>
        <ns0:tc>
          <ns0:tcPr>
            <ns0:tcW ns0:w="3645" ns0:type="dxa"/>
          </ns0:tcPr>
          <ns0:p ns1:paraId="0000002F">
            <ns0:r>
              <ns0:t xml:space="preserve">Enter the reason for the final materiality amount selected by the engagement team.</ns0:t>
            </ns0:r>
          </ns0:p>
        </ns0:tc>
        <ns0:tc>
          <ns0:tcPr>
            <ns0:tcW ns0:w="3885" ns0:type="dxa"/>
          </ns0:tcPr>
          <ns0:p ns1:paraId="00000030">
            <ns0:r>
              <ns0:t xml:space="preserve">No impact on the engagement file. Documents the engagement team's rationale for the final materiality assessment.</ns0:t>
            </ns0:r>
          </ns0:p>
        </ns0:tc>
      </ns0:tr>
      <ns0:tr ns1:paraId="00000031">
        <ns0:tc>
          <ns0:tcPr>
            <ns0:tcW ns0:w="10110" ns0:type="dxa"/>
            <ns0:gridSpan ns0:val="3"/>
          </ns0:tcPr>
          <ns0:p ns1:paraId="00000032">
            <ns0:pPr>
              <ns0:jc ns0:val="center"/>
              <ns0:rPr>
                <ns0:b ns0:val="1"/>
                <ns0:color ns0:val="FFFFFF"/>
              </ns0:rPr>
            </ns0:pPr>
            <ns0:r>
              <ns0:rPr>
                <ns0:b ns0:val="1"/>
              </ns0:rPr>
              <ns0:t>Conclusion regarding misstatements</ns0:t>
            </ns0:r>
          </ns0:p>
        </ns0:tc>
      </ns0:tr>
      <ns0:tr ns1:paraId="00000033">
        <ns0:tc>
          <ns0:tcPr>
            <ns0:tcW ns0:w="2580" ns0:type="dxa"/>
          </ns0:tcPr>
          <ns0:p ns1:paraId="00000034">
            <ns0:pPr>
              <ns0:rPr>
                <ns0:b ns0:val="1"/>
              </ns0:rPr>
            </ns0:pPr>
            <ns0:r>
              <ns0:rPr>
                <ns0:b ns0:val="1"/>
              </ns0:rPr>
              <ns0:t>Conclusion</ns0:t>
            </ns0:r>
          </ns0:p>
        </ns0:tc>
        <ns0:tc>
          <ns0:tcPr>
            <ns0:tcW ns0:w="3645" ns0:type="dxa"/>
          </ns0:tcPr>
          <ns0:p ns1:paraId="00000035">
            <ns0:r>
              <ns0:t xml:space="preserve">No input is required in this column. Displays a pre-populated conclusion statement regarding misstatements identified during the audit. The conclusion is automatically determined based on the misstatements recorded in the engagement file.</ns0:t>
            </ns0:r>
          </ns0:p>
        </ns0:tc>
        <ns0:tc>
          <ns0:tcPr>
            <ns0:tcW ns0:w="3885" ns0:type="dxa"/>
          </ns0:tcPr>
          <ns0:p ns1:paraId="00000036">
            <ns0:r>
              <ns0:t xml:space="preserve">No impact on the engagement file. Provides the conclusion regarding corrected and uncorrected misstatements for the engagement team's evaluation.</ns0:t>
            </ns0:r>
          </ns0:p>
        </ns0:tc>
      </ns0:tr>
    </ns0:tbl>
    <ns0:p ns0:rsidR="00000000" ns0:rsidDel="00000000" ns0:rsidP="00000000" ns0:rsidRDefault="00000000" ns0:rsidRPr="00000000" ns1:paraId="10000012">
      <ns0:pPr>
        <ns0:rPr/>
      </ns0:pPr>
      <ns0:r>
        <ns0:pict>
          <ns6:rect style="width:0.0pt;height:1.5pt" ns7:hr="t" ns7:hrstd="t" ns7:hralign="center" fillcolor="#A0A0A0" stroked="f"/>
        </ns0:pict>
      </ns0:r>
    </ns0:p>
    <ns0:p ns0:rsidR="00000000" ns0:rsidDel="00000000" ns0:rsidP="00000000" ns0:rsidRDefault="00000000" ns0:rsidRPr="00000000" ns1:paraId="00000038">
      <ns0:pPr>
        <ns0:pStyle ns0:val="Heading1"/>
      </ns0:pPr>
      <ns0:bookmarkStart ns0:colFirst="0" ns0:colLast="0" ns0:name="_docoutcomes0240" ns0:id="5"/>
      <ns0:bookmarkEnd ns0:id="5"/>
      <ns0:r>
        <ns0:rPr>
          <ns0:rtl ns0:val="0"/>
        </ns0:rPr>
        <ns0:t xml:space="preserve">Document outcomes</ns0:t>
      </ns0:r>
    </ns0:p>
    <ns0:p ns0:rsidR="00000000" ns0:rsidDel="00000000" ns0:rsidP="00000000" ns0:rsidRDefault="00000000" ns0:rsidRPr="00000000" ns1:paraId="00000039">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engagement team must select the applicable materiality base, review the calculated overall final materiality, and document the reason for the final materiality amount. The engagement team must compare the final materiality to the overall materiality and performance materiality set during the planning stage to determine whether the reassessment is appropriate.</ns0:t>
      </ns0:r>
    </ns0:p>
    <ns0:p ns0:rsidR="00000000" ns0:rsidDel="00000000" ns0:rsidP="00000000" ns0:rsidRDefault="00000000" ns0:rsidRPr="00000000" ns1:paraId="0000003A">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engagement team must review the pre-populated conclusion regarding misstatements to confirm that it accurately reflects the corrected and uncorrected misstatements identified during the audit.</ns0:t>
      </ns0:r>
    </ns0:p>
    <ns0:p ns0:rsidR="00000000" ns0:rsidDel="00000000" ns0:rsidP="00000000" ns0:rsidRDefault="00000000" ns0:rsidRPr="00000000" ns1:paraId="0000003B">
      <ns0:pPr>
        <ns0:rPr/>
      </ns0:pPr>
    </ns0:p>
    <ns0:p ns0:rsidR="00000000" ns0:rsidDel="00000000" ns0:rsidP="00000000" ns0:rsidRDefault="00000000" ns0:rsidRPr="00000000" ns1:paraId="0000003C">
      <ns0:pPr>
        <ns0:rPr/>
      </ns0:pPr>
      <ns0:r>
        <ns0:pict>
          <ns6:rect style="width:0.0pt;height:1.5pt" ns7:hr="t" ns7:hrstd="t" ns7:hralign="center" fillcolor="#A0A0A0" stroked="f"/>
        </ns0:pict>
      </ns0:r>
      <ns0:r>
        <ns0:rPr>
          <ns0:rtl ns0:val="0"/>
        </ns0:rPr>
      </ns0:r>
    </ns0:p>
    <ns0:p ns0:rsidR="00000000" ns0:rsidDel="00000000" ns0:rsidP="00000000" ns0:rsidRDefault="00000000" ns0:rsidRPr="00000000" ns1:paraId="0000003D">
      <ns0:pPr>
        <ns0:pStyle ns0:val="Heading1"/>
      </ns0:pPr>
      <ns0:bookmarkStart ns0:colFirst="0" ns0:colLast="0" ns0:name="_groupaudits0240" ns0:id="6"/>
      <ns0:bookmarkEnd ns0:id="6"/>
      <ns0:r>
        <ns0:rPr>
          <ns0:rtl ns0:val="0"/>
        </ns0:rPr>
        <ns0:t xml:space="preserve">Group Audits</ns0:t>
      </ns0:r>
    </ns0:p>
    <ns0:p ns0:rsidR="00000000" ns0:rsidDel="00000000" ns0:rsidP="00000000" ns0:rsidRDefault="00000000" ns0:rsidRPr="00000000" ns1:paraId="0000003E">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When the engagement type was selected as 'Group Audit Single' or 'Group Audit Multiple', the evaluation of misstatements applies to the group engagement. The engagement team must evaluate misstatements at both the group and component level and consider the impact on the group's overall materiality assessment.</ns0:t>
      </ns0:r>
    </ns0:p>
    <ns0:p ns0:rsidR="00000000" ns0:rsidDel="00000000" ns0:rsidP="00000000" ns0:rsidRDefault="00000000" ns0:rsidRPr="00000000" ns1:paraId="0000003F">
      <ns0:pPr>
        <ns0:pStyle ns0:val="Heading1"/>
      </ns0:pPr>
      <ns0:bookmarkStart ns0:colFirst="0" ns0:colLast="0" ns0:name="_inconclusion0240" ns0:id="7"/>
      <ns0:bookmarkEnd ns0:id="7"/>
      <ns0:r>
        <ns0:rPr>
          <ns0:rtl ns0:val="0"/>
        </ns0:rPr>
        <ns0:t xml:space="preserve">IN CONCLUSION</ns0:t>
      </ns0:r>
    </ns0:p>
    <ns0:p ns0:rsidR="00000000" ns0:rsidDel="00000000" ns0:rsidP="00000000" ns0:rsidRDefault="00000000" ns0:rsidRPr="00000000" ns1:paraId="00000040">
      <ns0:pPr>
        <ns0:pStyle ns0:val="Heading1"/>
      </ns0:pPr>
      <ns0:bookmarkStart ns0:colFirst="0" ns0:colLast="0" ns0:name="_features0240" ns0:id="8"/>
      <ns0:bookmarkEnd ns0:id="8"/>
      <ns0:r>
        <ns0:rPr>
          <ns0:rtl ns0:val="0"/>
        </ns0:rPr>
        <ns0:t xml:space="preserve">Features</ns0:t>
      </ns0:r>
    </ns0:p>
    <ns0:p ns0:rsidR="00000000" ns0:rsidDel="00000000" ns0:rsidP="00000000" ns0:rsidRDefault="00000000" ns0:rsidRPr="00000000" ns1:paraId="00000041">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following features are available in the document:</ns0:t>
      </ns0:r>
    </ns0:p>
    <ns0:p ns0:rsidR="00000000" ns0:rsidDel="00000000" ns0:rsidP="00000000" ns0:rsidRDefault="00000000" ns0:rsidRPr="00000000" ns1:paraId="00000042">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Insert or delete a comment, see page </ns0:t>
      </ns0:r>
      <ns0:r>
        <ns0:rPr>
          <ns0:rFonts ns0:ascii="Switzer" ns0:hAnsi="Switzer" ns0:cs="Switzer" ns0:eastAsia="Switzer"/>
          <ns0:b ns0:val="0"/>
          <ns0:color ns0:val="51626f"/>
          <ns0:sz ns0:val="20"/>
          <ns0:szCs ns0:val="20"/>
          <ns0:u ns0:val="single"/>
          <ns0:rtl ns0:val="0"/>
        </ns0:rPr>
        <ns0:t>F3</ns0:t>
      </ns0:r>
    </ns0:p>
    <ns0:p ns0:rsidR="00000000" ns0:rsidDel="00000000" ns0:rsidP="00000000" ns0:rsidRDefault="00000000" ns0:rsidRPr="00000000" ns1:paraId="00000043">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Guidance, see page </ns0:t>
      </ns0:r>
      <ns0:r>
        <ns0:rPr>
          <ns0:rFonts ns0:ascii="Switzer" ns0:hAnsi="Switzer" ns0:cs="Switzer" ns0:eastAsia="Switzer"/>
          <ns0:b ns0:val="0"/>
          <ns0:color ns0:val="51626f"/>
          <ns0:sz ns0:val="20"/>
          <ns0:szCs ns0:val="20"/>
          <ns0:u ns0:val="single"/>
          <ns0:rtl ns0:val="0"/>
        </ns0:rPr>
        <ns0:t>F16</ns0:t>
      </ns0:r>
    </ns0:p>
    <ns0:p ns0:rsidR="00000000" ns0:rsidDel="00000000" ns0:rsidP="00000000" ns0:rsidRDefault="00000000" ns0:rsidRPr="00000000" ns1:paraId="00000044">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Freeze, see page </ns0:t>
      </ns0:r>
      <ns0:r>
        <ns0:rPr>
          <ns0:rFonts ns0:ascii="Switzer" ns0:hAnsi="Switzer" ns0:cs="Switzer" ns0:eastAsia="Switzer"/>
          <ns0:b ns0:val="0"/>
          <ns0:color ns0:val="51626f"/>
          <ns0:sz ns0:val="20"/>
          <ns0:szCs ns0:val="20"/>
          <ns0:u ns0:val="single"/>
          <ns0:rtl ns0:val="0"/>
        </ns0:rPr>
        <ns0:t>F19</ns0:t>
      </ns0:r>
    </ns0:p>
    <ns0:p ns0:rsidR="00000000" ns0:rsidDel="00000000" ns0:rsidP="00000000" ns0:rsidRDefault="00000000" ns0:rsidRPr="00000000" ns1:paraId="00000045">
      <ns0:pPr>
        <ns0:rPr/>
      </ns0:pPr>
    </ns0:p>
    <ns0:sectPr>
      <ns0:pgSz ns0:w="11906" ns0:h="16838" ns0:orient="portrait"/>
      <ns0:pgMar ns0:top="720" ns0:right="720" ns0:bottom="720" ns0:left="1080" ns0:header="720" ns0:footer="720" ns0:gutter="0"/>
      <ns0:pgNumType ns0:start="1"/>
      <ns0:cols ns0:space="720"/>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witzer"/>
  <w:font w:name="Pastiche Grotesque"/>
</w:fonts>
</file>

<file path=word/numbering.xml><?xml version="1.0" encoding="utf-8"?>
<w:numbering xmlns:w="http://schemas.openxmlformats.org/wordprocessingml/2006/main">
  <w:abstractNum w:abstractNumId="1">
    <w:lvl w:ilvl="0">
      <w:start w:val="1"/>
      <w:numFmt w:val="bullet"/>
      <w:lvlText w:val="●"/>
      <w:lvlJc w:val="left"/>
      <w:pPr>
        <w:ind w:left="768" w:hanging="360"/>
      </w:pPr>
      <w:rPr>
        <w:u w:val="none"/>
        <w:sz w:val="26"/>
        <w:szCs w:val="26"/>
        <w:rFonts w:ascii="Roboto" w:hAnsi="Roboto" w:cs="Roboto" w:eastAsia="Roboto"/>
      </w:rPr>
    </w:lvl>
    <w:lvl w:ilvl="1">
      <w:start w:val="1"/>
      <w:numFmt w:val="bullet"/>
      <w:lvlText w:val="o"/>
      <w:lvlJc w:val="left"/>
      <w:pPr>
        <w:ind w:left="1488" w:hanging="360"/>
      </w:pPr>
      <w:rPr>
        <w:u w:val="none"/>
        <w:sz w:val="26"/>
        <w:szCs w:val="26"/>
        <w:rFonts w:ascii="Roboto" w:hAnsi="Roboto" w:cs="Roboto" w:eastAsia="Roboto"/>
      </w:rPr>
    </w:lvl>
    <w:lvl w:ilvl="2">
      <w:start w:val="1"/>
      <w:numFmt w:val="bullet"/>
      <w:lvlText w:val="▪"/>
      <w:lvlJc w:val="left"/>
      <w:pPr>
        <w:ind w:left="2208" w:hanging="360"/>
      </w:pPr>
      <w:rPr>
        <w:u w:val="none"/>
        <w:sz w:val="26"/>
        <w:szCs w:val="26"/>
        <w:rFonts w:ascii="Roboto" w:hAnsi="Roboto" w:cs="Roboto" w:eastAsia="Roboto"/>
      </w:rPr>
    </w:lvl>
    <w:lvl w:ilvl="3">
      <w:start w:val="1"/>
      <w:numFmt w:val="bullet"/>
      <w:lvlText w:val="●"/>
      <w:lvlJc w:val="left"/>
      <w:pPr>
        <w:ind w:left="2928" w:hanging="360"/>
      </w:pPr>
      <w:rPr>
        <w:u w:val="none"/>
        <w:sz w:val="26"/>
        <w:szCs w:val="26"/>
        <w:rFonts w:ascii="Roboto" w:hAnsi="Roboto" w:cs="Roboto" w:eastAsia="Roboto"/>
      </w:rPr>
    </w:lvl>
    <w:lvl w:ilvl="4">
      <w:start w:val="1"/>
      <w:numFmt w:val="bullet"/>
      <w:lvlText w:val="o"/>
      <w:lvlJc w:val="left"/>
      <w:pPr>
        <w:ind w:left="3648" w:hanging="360"/>
      </w:pPr>
      <w:rPr>
        <w:u w:val="none"/>
        <w:sz w:val="26"/>
        <w:szCs w:val="26"/>
        <w:rFonts w:ascii="Roboto" w:hAnsi="Roboto" w:cs="Roboto" w:eastAsia="Roboto"/>
      </w:rPr>
    </w:lvl>
    <w:lvl w:ilvl="5">
      <w:start w:val="1"/>
      <w:numFmt w:val="bullet"/>
      <w:lvlText w:val="▪"/>
      <w:lvlJc w:val="left"/>
      <w:pPr>
        <w:ind w:left="4368" w:hanging="360"/>
      </w:pPr>
      <w:rPr>
        <w:u w:val="none"/>
        <w:sz w:val="26"/>
        <w:szCs w:val="26"/>
        <w:rFonts w:ascii="Roboto" w:hAnsi="Roboto" w:cs="Roboto" w:eastAsia="Roboto"/>
      </w:rPr>
    </w:lvl>
    <w:lvl w:ilvl="6">
      <w:start w:val="1"/>
      <w:numFmt w:val="bullet"/>
      <w:lvlText w:val="●"/>
      <w:lvlJc w:val="left"/>
      <w:pPr>
        <w:ind w:left="5088" w:hanging="360"/>
      </w:pPr>
      <w:rPr>
        <w:u w:val="none"/>
        <w:sz w:val="26"/>
        <w:szCs w:val="26"/>
        <w:rFonts w:ascii="Roboto" w:hAnsi="Roboto" w:cs="Roboto" w:eastAsia="Roboto"/>
      </w:rPr>
    </w:lvl>
    <w:lvl w:ilvl="7">
      <w:start w:val="1"/>
      <w:numFmt w:val="bullet"/>
      <w:lvlText w:val="o"/>
      <w:lvlJc w:val="left"/>
      <w:pPr>
        <w:ind w:left="5808" w:hanging="360"/>
      </w:pPr>
      <w:rPr>
        <w:u w:val="none"/>
        <w:sz w:val="26"/>
        <w:szCs w:val="26"/>
        <w:rFonts w:ascii="Roboto" w:hAnsi="Roboto" w:cs="Roboto" w:eastAsia="Roboto"/>
      </w:rPr>
    </w:lvl>
    <w:lvl w:ilvl="8">
      <w:start w:val="1"/>
      <w:numFmt w:val="bullet"/>
      <w:lvlText w:val="▪"/>
      <w:lvlJc w:val="left"/>
      <w:pPr>
        <w:ind w:left="6528" w:hanging="360"/>
      </w:pPr>
      <w:rPr>
        <w:u w:val="none"/>
        <w:sz w:val="26"/>
        <w:szCs w:val="26"/>
        <w:rFonts w:ascii="Roboto" w:hAnsi="Roboto" w:cs="Roboto" w:eastAsia="Roboto"/>
      </w:rPr>
    </w:lvl>
  </w:abstractNum>
  <w:abstractNum w:abstractNumId="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3">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4">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5">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6">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7">
    <w:lvl w:ilvl="0">
      <w:start w:val="1"/>
      <w:numFmt w:val="bullet"/>
      <w:lvlText w:val="●"/>
      <w:lvlJc w:val="left"/>
      <w:pPr>
        <w:ind w:left="360" w:hanging="360"/>
      </w:pPr>
      <w:rPr>
        <w:u w:val="none"/>
        <w:sz w:val="26"/>
        <w:szCs w:val="26"/>
        <w:rFonts w:ascii="Roboto" w:hAnsi="Roboto" w:cs="Roboto" w:eastAsia="Roboto"/>
      </w:rPr>
    </w:lvl>
    <w:lvl w:ilvl="1">
      <w:start w:val="1"/>
      <w:numFmt w:val="bullet"/>
      <w:lvlText w:val="o"/>
      <w:lvlJc w:val="left"/>
      <w:pPr>
        <w:ind w:left="1080" w:hanging="360"/>
      </w:pPr>
      <w:rPr>
        <w:u w:val="none"/>
        <w:sz w:val="26"/>
        <w:szCs w:val="26"/>
        <w:rFonts w:ascii="Roboto" w:hAnsi="Roboto" w:cs="Roboto" w:eastAsia="Roboto"/>
      </w:rPr>
    </w:lvl>
    <w:lvl w:ilvl="2">
      <w:start w:val="1"/>
      <w:numFmt w:val="bullet"/>
      <w:lvlText w:val="▪"/>
      <w:lvlJc w:val="left"/>
      <w:pPr>
        <w:ind w:left="1800" w:hanging="360"/>
      </w:pPr>
      <w:rPr>
        <w:u w:val="none"/>
        <w:sz w:val="26"/>
        <w:szCs w:val="26"/>
        <w:rFonts w:ascii="Roboto" w:hAnsi="Roboto" w:cs="Roboto" w:eastAsia="Roboto"/>
      </w:rPr>
    </w:lvl>
    <w:lvl w:ilvl="3">
      <w:start w:val="1"/>
      <w:numFmt w:val="bullet"/>
      <w:lvlText w:val="●"/>
      <w:lvlJc w:val="left"/>
      <w:pPr>
        <w:ind w:left="2520" w:hanging="360"/>
      </w:pPr>
      <w:rPr>
        <w:u w:val="none"/>
        <w:sz w:val="26"/>
        <w:szCs w:val="26"/>
        <w:rFonts w:ascii="Roboto" w:hAnsi="Roboto" w:cs="Roboto" w:eastAsia="Roboto"/>
      </w:rPr>
    </w:lvl>
    <w:lvl w:ilvl="4">
      <w:start w:val="1"/>
      <w:numFmt w:val="bullet"/>
      <w:lvlText w:val="o"/>
      <w:lvlJc w:val="left"/>
      <w:pPr>
        <w:ind w:left="3240" w:hanging="360"/>
      </w:pPr>
      <w:rPr>
        <w:u w:val="none"/>
        <w:sz w:val="26"/>
        <w:szCs w:val="26"/>
        <w:rFonts w:ascii="Roboto" w:hAnsi="Roboto" w:cs="Roboto" w:eastAsia="Roboto"/>
      </w:rPr>
    </w:lvl>
    <w:lvl w:ilvl="5">
      <w:start w:val="1"/>
      <w:numFmt w:val="bullet"/>
      <w:lvlText w:val="▪"/>
      <w:lvlJc w:val="left"/>
      <w:pPr>
        <w:ind w:left="3960" w:hanging="360"/>
      </w:pPr>
      <w:rPr>
        <w:u w:val="none"/>
        <w:sz w:val="26"/>
        <w:szCs w:val="26"/>
        <w:rFonts w:ascii="Roboto" w:hAnsi="Roboto" w:cs="Roboto" w:eastAsia="Roboto"/>
      </w:rPr>
    </w:lvl>
    <w:lvl w:ilvl="6">
      <w:start w:val="1"/>
      <w:numFmt w:val="bullet"/>
      <w:lvlText w:val="●"/>
      <w:lvlJc w:val="left"/>
      <w:pPr>
        <w:ind w:left="4680" w:hanging="360"/>
      </w:pPr>
      <w:rPr>
        <w:u w:val="none"/>
        <w:sz w:val="26"/>
        <w:szCs w:val="26"/>
        <w:rFonts w:ascii="Roboto" w:hAnsi="Roboto" w:cs="Roboto" w:eastAsia="Roboto"/>
      </w:rPr>
    </w:lvl>
    <w:lvl w:ilvl="7">
      <w:start w:val="1"/>
      <w:numFmt w:val="bullet"/>
      <w:lvlText w:val="o"/>
      <w:lvlJc w:val="left"/>
      <w:pPr>
        <w:ind w:left="5400" w:hanging="360"/>
      </w:pPr>
      <w:rPr>
        <w:u w:val="none"/>
        <w:sz w:val="26"/>
        <w:szCs w:val="26"/>
        <w:rFonts w:ascii="Roboto" w:hAnsi="Roboto" w:cs="Roboto" w:eastAsia="Roboto"/>
      </w:rPr>
    </w:lvl>
    <w:lvl w:ilvl="8">
      <w:start w:val="1"/>
      <w:numFmt w:val="bullet"/>
      <w:lvlText w:val="▪"/>
      <w:lvlJc w:val="left"/>
      <w:pPr>
        <w:ind w:left="6120" w:hanging="360"/>
      </w:pPr>
      <w:rPr>
        <w:u w:val="none"/>
        <w:sz w:val="26"/>
        <w:szCs w:val="26"/>
        <w:rFonts w:ascii="Roboto" w:hAnsi="Roboto" w:cs="Roboto" w:eastAsia="Roboto"/>
      </w:rPr>
    </w:lvl>
  </w:abstractNum>
  <w:abstractNum w:abstractNumId="8">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9">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0">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1">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Switzer" w:cs="Switzer" w:eastAsia="Switzer" w:hAnsi="Switzer"/>
        <w:color w:val="51626f"/>
        <w:sz w:val="20"/>
        <w:szCs w:val="20"/>
        <w:highlight w:val="white"/>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Switzer" w:hAnsi="Switzer" w:cs="Switzer" w:eastAsia="Switzer"/>
      <w:sz w:val="20"/>
      <w:szCs w:val="20"/>
    </w:rPr>
  </w:style>
  <w:style w:type="paragraph" w:styleId="Heading1">
    <w:name w:val="heading 1"/>
    <w:basedOn w:val="Normal"/>
    <w:next w:val="Normal"/>
    <w:pPr>
      <w:keepNext w:val="1"/>
      <w:keepLines w:val="1"/>
      <w:spacing w:after="0" w:line="264" w:lineRule="auto"/>
    </w:pPr>
    <w:rPr>
      <w:b/>
      <w:sz w:val="26"/>
      <w:szCs w:val="26"/>
      <w:rFonts w:ascii="Pastiche Grotesque" w:hAnsi="Pastiche Grotesque" w:cs="Pastiche Grotesque" w:eastAsia="Pastiche Grotesque"/>
    </w:rPr>
  </w:style>
  <w:style w:type="paragraph" w:styleId="Heading2">
    <w:name w:val="heading 2"/>
    <w:basedOn w:val="Normal"/>
    <w:next w:val="Normal"/>
    <w:pPr>
      <w:keepNext w:val="1"/>
      <w:keepLines w:val="1"/>
      <w:spacing w:before="300" w:line="264" w:lineRule="auto" w:after="0"/>
    </w:pPr>
    <w:rPr>
      <w:color w:val="303333"/>
      <w:sz w:val="26"/>
      <w:szCs w:val="26"/>
      <w:rFonts w:ascii="Pastiche Grotesque" w:hAnsi="Pastiche Grotesque" w:cs="Pastiche Grotesque" w:eastAsia="Pastiche Grotesque"/>
    </w:rPr>
  </w:style>
  <w:style w:type="paragraph" w:styleId="Heading3">
    <w:name w:val="heading 3"/>
    <w:basedOn w:val="Normal"/>
    <w:next w:val="Normal"/>
    <w:pPr>
      <w:keepNext w:val="1"/>
      <w:keepLines w:val="1"/>
      <w:spacing w:before="300" w:line="264" w:lineRule="auto" w:after="0"/>
    </w:pPr>
    <w:rPr>
      <w:color w:val="303333"/>
      <w:sz w:val="26"/>
      <w:szCs w:val="26"/>
      <w:rFonts w:ascii="Pastiche Grotesque" w:hAnsi="Pastiche Grotesque" w:cs="Pastiche Grotesque" w:eastAsia="Pastiche Grotesqu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300" w:line="264" w:lineRule="auto"/>
    </w:pPr>
    <w:rPr>
      <w:color w:val="f66359"/>
      <w:sz w:val="32"/>
      <w:szCs w:val="32"/>
      <w:rFonts w:ascii="Switzer" w:hAnsi="Switzer" w:cs="Switzer" w:eastAsia="Switzer"/>
    </w:rPr>
  </w:style>
  <w:style w:type="paragraph" w:styleId="Subtitle">
    <w:name w:val="Subtitle"/>
    <w:basedOn w:val="Normal"/>
    <w:next w:val="Normal"/>
    <w:pPr>
      <w:keepNext w:val="1"/>
      <w:keepLines w:val="1"/>
      <w:spacing w:after="0" w:before="120" w:lineRule="auto"/>
    </w:pPr>
    <w:rPr>
      <w:sz w:val="26"/>
      <w:szCs w:val="26"/>
      <w:rFonts w:ascii="Pastiche Grotesque" w:hAnsi="Pastiche Grotesque" w:cs="Pastiche Grotesque" w:eastAsia="Pastiche Grotesqu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s>
</file>

<file path=word/_rels/fontTable.xml.rels><?xml version="1.0" encoding="UTF-8"?><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