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urn:schemas-microsoft-com:vml" xmlns:ns3="urn:schemas-microsoft-com:office:office" xmlns:ns4="http://schemas.openxmlformats.org/drawingml/2006/wordprocessingDrawing" xmlns:ns5="http://schemas.openxmlformats.org/drawingml/2006/main" xmlns:ns6="http://schemas.openxmlformats.org/drawingml/2006/picture" xmlns:ns7="http://schemas.openxmlformats.org/officeDocument/2006/relationships">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bookmarkStart ns0:colFirst="0" ns0:colLast="0" ns0:name="_title" ns0:id="0"/>
      <ns0:bookmarkEnd ns0:id="0"/>
      <ns0:r>
        <ns0:rPr>
          <ns0:rtl ns0:val="0"/>
        </ns0:rPr>
        <ns0:t xml:space="preserve">11.25 FRAUD RISK ASSESSMENT</ns0:t>
        <ns0:tab/>
      </ns0:r>
    </ns0:p>
    <ns0:p ns0:rsidR="00000000" ns0:rsidDel="00000000" ns0:rsidP="00000000" ns0:rsidRDefault="00000000" ns0:rsidRPr="00000000" ns1:paraId="00000002">
      <ns0:pPr>
        <ns0:rPr/>
      </ns0:pPr>
      <ns0:r>
        <ns0:pict>
          <ns2:rect style="width:0.0pt;height:1.5pt" ns3:hr="t" ns3:hrstd="t" ns3:hralign="center" fillcolor="#A0A0A0" stroked="f"/>
        </ns0:pict>
      </ns0:r>
      <ns0:r>
        <ns0:rPr>
          <ns0:rtl ns0:val="0"/>
        </ns0:rPr>
      </ns0: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rPr>
          <ns0:color ns0:val="51626f"/>
        </ns0:rPr>
      </ns0:pPr>
      <ns0:bookmarkStart ns0:colFirst="0" ns0:colLast="0" ns0:name="_objective" ns0:id="2"/>
      <ns0:bookmarkEnd ns0:id="2"/>
      <ns0:r>
        <ns0:rPr>
          <ns0:rtl ns0:val="0"/>
        </ns0:rPr>
        <ns0:t xml:space="preserve">Objective</ns0:t>
      </ns0:r>
    </ns0:p>
    <ns0:p ns0:rsidR="00000000" ns0:rsidDel="00000000" ns0:rsidP="00000000" ns0:rsidRDefault="00000000" ns0:rsidRPr="00000000" ns1:paraId="00000005">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objective of this document is to identify and assess the risks of material misstatement in the financial statements due to fraud, by evaluating whether fraud risk factors relating to incentives, opportunities and rationalisations are present, and to determine overall responses to the assessed risks of fraud.</ns0:t>
      </ns0:r>
    </ns0:p>
    <ns0:p ns0:rsidR="00000000" ns0:rsidDel="00000000" ns0:rsidP="00000000" ns0:rsidRDefault="00000000" ns0:rsidRPr="00000000" ns1:paraId="00000006">
      <ns0:pPr>
        <ns0:rPr/>
      </ns0:pPr>
      <ns0:r>
        <ns0:rPr>
          <ns0:rtl ns0:val="0"/>
        </ns0:rPr>
      </ns0:r>
    </ns0:p>
    <ns0:p ns0:rsidR="00000000" ns0:rsidDel="00000000" ns0:rsidP="00000000" ns0:rsidRDefault="00000000" ns0:rsidRPr="00000000" ns1:paraId="1000019F">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1A0">
      <ns0:pPr>
        <ns0:numPr>
          <ns0:ilvl ns0:val="0"/>
          <ns0:numId ns0:val="7"/>
        </ns0:numPr>
        <ns0:ind ns0:left="360"/>
        <ns0:spacing ns0:before="0" ns0:after="0"/>
      </ns0:pPr>
      <ns0:r>
        <ns0:rPr>
          <ns0:b ns0:val="1"/>
          <ns0:bCs ns0:val="1"/>
          <ns0:rtl ns0:val="0"/>
        </ns0:rPr>
        <ns0:t xml:space="preserve">Assessment of fraud risk factors through the incentive, opportunity, and rationalisation framework (ISA 240)</ns0:t>
      </ns0:r>
    </ns0:p>
    <ns0:p ns0:rsidR="00000000" ns0:rsidDel="00000000" ns0:rsidP="00000000" ns0:rsidRDefault="00000000" ns0:rsidRPr="00000000" ns1:paraId="100001A1">
      <ns0:pPr>
        <ns0:numPr>
          <ns0:ilvl ns0:val="0"/>
          <ns0:numId ns0:val="7"/>
        </ns0:numPr>
        <ns0:ind ns0:left="360"/>
        <ns0:spacing ns0:before="0" ns0:after="0"/>
      </ns0:pPr>
      <ns0:r>
        <ns0:rPr>
          <ns0:b ns0:val="1"/>
          <ns0:bCs ns0:val="1"/>
          <ns0:rtl ns0:val="0"/>
        </ns0:rPr>
        <ns0:t xml:space="preserve">Presumed significant risk of management override of controls</ns0:t>
      </ns0:r>
    </ns0:p>
    <ns0:p ns0:rsidR="00000000" ns0:rsidDel="00000000" ns0:rsidP="00000000" ns0:rsidRDefault="00000000" ns0:rsidRPr="00000000" ns1:paraId="100001A2">
      <ns0:pPr>
        <ns0:numPr>
          <ns0:ilvl ns0:val="0"/>
          <ns0:numId ns0:val="7"/>
        </ns0:numPr>
        <ns0:ind ns0:left="360"/>
        <ns0:spacing ns0:before="0" ns0:after="0"/>
      </ns0:pPr>
      <ns0:r>
        <ns0:rPr>
          <ns0:b ns0:val="1"/>
          <ns0:bCs ns0:val="1"/>
          <ns0:rtl ns0:val="0"/>
        </ns0:rPr>
        <ns0:t xml:space="preserve">Identification of fraud risks that flow to the overall risk assessment and drive specific audit responses</ns0:t>
      </ns0:r>
    </ns0:p>
    <ns0:p ns0:rsidR="00000000" ns0:rsidDel="00000000" ns0:rsidP="00000000" ns0:rsidRDefault="00000000" ns0:rsidRPr="00000000" ns1:paraId="100001A3">
      <ns0:pPr>
        <ns0:rPr/>
      </ns0:pPr>
    </ns0:p>
    <ns0:p ns0:rsidR="00000000" ns0:rsidDel="00000000" ns0:rsidP="00000000" ns0:rsidRDefault="00000000" ns0:rsidRPr="00000000" ns1:paraId="0000000B">
      <ns0:pPr>
        <ns0:spacing ns0:after="0" ns0:lineRule="auto"/>
        <ns0:rPr/>
      </ns0:pPr>
      <ns0:r>
        <ns0:rPr>
          <ns0:rFonts ns0:ascii="Pastiche Grotesque" ns0:hAnsi="Pastiche Grotesque" ns0:cs="Pastiche Grotesque" ns0:eastAsia="Pastiche Grotesque"/>
          <ns0:b ns0:val="1"/>
          <ns0:bCs ns0:val="1"/>
          <ns0:sz ns0:val="26"/>
          <ns0:szCs ns0:val="26"/>
          <ns0:u ns0:val="none"/>
          <ns0:rtl ns0:val="0"/>
        </ns0:rPr>
        <ns0:t xml:space="preserve">Document placement</ns0:t>
      </ns0:r>
      <ns0:r>
        <ns0:rPr>
          <ns0:rtl ns0:val="0"/>
        </ns0:rPr>
      </ns0:r>
    </ns0:p>
    <ns0:p ns0:rsidR="00000000" ns0:rsidDel="00000000" ns0:rsidP="00000000" ns0:rsidRDefault="00000000" ns0:rsidRPr="00000000" ns1:paraId="0000000C">
      <ns0:pPr>
        <ns0:rPr/>
      </ns0:pPr>
      <ns0:r>
        <ns0:rPr>
          <ns0:rtl ns0:val="0"/>
        </ns0:rPr>
        <ns0:t xml:space="preserve">Document 11.25 – Fraud risk assessment can be found in the Planning and risk assessment procedures folder in the Caseware document manager.</ns0:t>
      </ns0:r>
    </ns0:p>
    <ns0:p ns0:rsidR="00AB0001" ns0:rsidRDefault="00AB0001">
      <ns0:pPr>
        <ns0:jc ns0:val="center"/>
        <ns0:rPr/>
      </ns0:pPr>
      <ns0:r>
        <ns0:rPr/>
        <ns0:drawing>
          <ns4:inline distT="0" distB="0" distL="0" distR="0">
            <ns4:extent cx="4572000" cy="2289588"/>
            <ns4:effectExtent l="0" t="0" r="0" b="0"/>
            <ns4:docPr id="901" name="Bookmark 11.25" descr="Bookmark placement for 11.25"/>
            <ns4:cNvGraphicFramePr>
              <ns5:graphicFrameLocks noChangeAspect="1"/>
            </ns4:cNvGraphicFramePr>
            <ns5:graphic>
              <ns5:graphicData uri="http://schemas.openxmlformats.org/drawingml/2006/picture">
                <ns6:pic>
                  <ns6:nvPicPr>
                    <ns6:cNvPr id="901" name="Bookmark 11.25" descr="Bookmark placement for 11.25"/>
                    <ns6:cNvPicPr/>
                  </ns6:nvPicPr>
                  <ns6:blipFill>
                    <ns5:blip ns7:embed="rId9"/>
                    <ns5:stretch>
                      <ns5:fillRect/>
                    </ns5:stretch>
                  </ns6:blipFill>
                  <ns6:spPr>
                    <ns5:xfrm>
                      <ns5:off x="0" y="0"/>
                      <ns5:ext cx="4572000" cy="2289588"/>
                    </ns5:xfrm>
                    <ns5:prstGeom prst="rect">
                      <ns5:avLst/>
                    </ns5:prstGeom>
                    <ns5:ln w="12700">
                      <ns5:solidFill>
                        <ns5:srgbClr val="000000"/>
                      </ns5:solidFill>
                    </ns5:ln>
                  </ns6:spPr>
                </ns6:pic>
              </ns5:graphicData>
            </ns5:graphic>
          </ns4:inline>
        </ns0:drawing>
      </ns0:r>
    </ns0:p>
    <ns0:p ns0:rsidR="00000000" ns0:rsidDel="00000000" ns0:rsidP="00000000" ns0:rsidRDefault="00000000" ns0:rsidRPr="00000000" ns1:paraId="0000000E">
      <ns0:pPr>
        <ns0:pStyle ns0:val="Heading1"/>
        <ns0:rPr/>
      </ns0:pPr>
      <ns0:bookmarkStart ns0:colFirst="0" ns0:colLast="0" ns0:name="_doc_content" ns0:id="4"/>
      <ns0:bookmarkEnd ns0:id="4"/>
      <ns0:r>
        <ns0:rPr>
          <ns0:rtl ns0:val="0"/>
        </ns0:rPr>
        <ns0:t xml:space="preserve">Document content</ns0:t>
      </ns0:r>
    </ns0:p>
    <ns0:p ns0:rsidR="00000000" ns0:rsidDel="00000000" ns0:rsidP="00000000" ns0:rsidRDefault="00000000" ns0:rsidRPr="00000000" ns1:paraId="0000000F">
      <ns0:pPr>
        <ns0:rPr/>
      </ns0:pPr>
      <ns0:r>
        <ns0:rPr>
          <ns0:rtl ns0:val="0"/>
        </ns0:rPr>
        <ns0:t xml:space="preserve">This document is designed to be a questionnaire type document with space for a comment or further description.</ns0:t>
      </ns0:r>
    </ns0:p>
    <ns0:p ns0:rsidR="00000000" ns0:rsidDel="00000000" ns0:rsidP="00000000" ns0:rsidRDefault="00000000" ns0:rsidRPr="00000000" ns1:paraId="00000010">
      <ns0:pPr>
        <ns0:rPr/>
      </ns0:pPr>
      <ns0:r>
        <ns0:rPr>
          <ns0:rtl ns0:val="0"/>
        </ns0:rPr>
        <ns0:t xml:space="preserve">The fraud risk factors in this document are structured around the three conditions generally present when fraud occurs, as described in ISA 240:</ns0:t>
      </ns0:r>
    </ns0:p>
    <ns0:p ns0:rsidR="00000000" ns0:rsidDel="00000000" ns0:rsidP="00000000" ns0:rsidRDefault="00000000" ns0:rsidRPr="00000000" ns1:paraId="00000011">
      <ns0:pPr>
        <ns0:numPr>
          <ns0:ilvl ns0:val="0"/>
          <ns0:numId ns0:val="7"/>
        </ns0:numPr>
        <ns0:ind ns0:left="360"/>
        <ns0:spacing ns0:before="0" ns0:after="0"/>
      </ns0:pPr>
      <ns0:r>
        <ns0:rPr>
          <ns0:b ns0:val="1"/>
          <ns0:bCs ns0:val="1"/>
          <ns0:rtl ns0:val="0"/>
        </ns0:rPr>
        <ns0:t xml:space="preserve">Incentive</ns0:t>
      </ns0:r>
      <ns0:r>
        <ns0:rPr>
          <ns0:rtl ns0:val="0"/>
        </ns0:rPr>
        <ns0:t xml:space="preserve"> – pressure or motive to commit fraud</ns0:t>
      </ns0:r>
    </ns0:p>
    <ns0:p ns0:rsidR="00000000" ns0:rsidDel="00000000" ns0:rsidP="00000000" ns0:rsidRDefault="00000000" ns0:rsidRPr="00000000" ns1:paraId="00000012">
      <ns0:pPr>
        <ns0:numPr>
          <ns0:ilvl ns0:val="0"/>
          <ns0:numId ns0:val="7"/>
        </ns0:numPr>
        <ns0:ind ns0:left="360"/>
        <ns0:spacing ns0:before="0" ns0:after="0"/>
      </ns0:pPr>
      <ns0:r>
        <ns0:rPr>
          <ns0:b ns0:val="1"/>
          <ns0:bCs ns0:val="1"/>
          <ns0:rtl ns0:val="0"/>
        </ns0:rPr>
        <ns0:t xml:space="preserve">Opportunity</ns0:t>
      </ns0:r>
      <ns0:r>
        <ns0:rPr>
          <ns0:rtl ns0:val="0"/>
        </ns0:rPr>
        <ns0:t xml:space="preserve"> – circumstances that allow fraud to be perpetrated</ns0:t>
      </ns0:r>
    </ns0:p>
    <ns0:p ns0:rsidR="00000000" ns0:rsidDel="00000000" ns0:rsidP="00000000" ns0:rsidRDefault="00000000" ns0:rsidRPr="00000000" ns1:paraId="00000013">
      <ns0:pPr>
        <ns0:numPr>
          <ns0:ilvl ns0:val="0"/>
          <ns0:numId ns0:val="7"/>
        </ns0:numPr>
        <ns0:ind ns0:left="360"/>
        <ns0:spacing ns0:before="0" ns0:after="0"/>
      </ns0:pPr>
      <ns0:r>
        <ns0:rPr>
          <ns0:b ns0:val="1"/>
          <ns0:bCs ns0:val="1"/>
          <ns0:rtl ns0:val="0"/>
        </ns0:rPr>
        <ns0:t xml:space="preserve">Rationalisation</ns0:t>
      </ns0:r>
      <ns0:r>
        <ns0:rPr>
          <ns0:rtl ns0:val="0"/>
        </ns0:rPr>
        <ns0:t xml:space="preserve"> – attitude or ethical values that allow individuals to justify a fraudulent act</ns0:t>
      </ns0:r>
    </ns0:p>
    <ns0:p ns0:rsidR="00000000" ns0:rsidDel="00000000" ns0:rsidP="00000000" ns0:rsidRDefault="00000000" ns0:rsidRPr="00000000" ns1:paraId="00000014">
      <ns0:pPr>
        <ns0:rPr/>
      </ns0:pPr>
      <ns0:r>
        <ns0:rPr>
          <ns0:rtl ns0:val="0"/>
        </ns0:rPr>
        <ns0:t xml:space="preserve">This document is divided into different bookmarks in the document map to assist you with the fraud risk assessment process:</ns0:t>
      </ns0:r>
    </ns0:p>
    <ns0:p ns0:rsidR="00000000" ns0:rsidDel="00000000" ns0:rsidP="00000000" ns0:rsidRDefault="00000000" ns0:rsidRPr="00000000" ns1:paraId="00000015">
      <ns0:pPr>
        <ns0:numPr>
          <ns0:ilvl ns0:val="0"/>
          <ns0:numId ns0:val="7"/>
        </ns0:numPr>
        <ns0:ind ns0:left="360"/>
        <ns0:spacing ns0:before="0" ns0:after="0"/>
      </ns0:pPr>
      <ns0:r>
        <ns0:rPr>
          <ns0:rtl ns0:val="0"/>
        </ns0:rPr>
        <ns0:t xml:space="preserve">Risk assessment procedures</ns0:t>
      </ns0:r>
    </ns0:p>
    <ns0:p ns0:rsidR="00000000" ns0:rsidDel="00000000" ns0:rsidP="00000000" ns0:rsidRDefault="00000000" ns0:rsidRPr="00000000" ns1:paraId="00000016">
      <ns0:pPr>
        <ns0:numPr>
          <ns0:ilvl ns0:val="0"/>
          <ns0:numId ns0:val="7"/>
        </ns0:numPr>
        <ns0:ind ns0:left="360"/>
        <ns0:spacing ns0:before="0" ns0:after="0"/>
      </ns0:pPr>
      <ns0:r>
        <ns0:rPr>
          <ns0:rtl ns0:val="0"/>
        </ns0:rPr>
        <ns0:t xml:space="preserve">Incentive</ns0:t>
      </ns0:r>
    </ns0:p>
    <ns0:p ns0:rsidR="00000000" ns0:rsidDel="00000000" ns0:rsidP="00000000" ns0:rsidRDefault="00000000" ns0:rsidRPr="00000000" ns1:paraId="00000017">
      <ns0:pPr>
        <ns0:numPr>
          <ns0:ilvl ns0:val="0"/>
          <ns0:numId ns0:val="7"/>
        </ns0:numPr>
        <ns0:ind ns0:left="360"/>
        <ns0:spacing ns0:before="0" ns0:after="0"/>
      </ns0:pPr>
      <ns0:r>
        <ns0:rPr>
          <ns0:rtl ns0:val="0"/>
        </ns0:rPr>
        <ns0:t xml:space="preserve">Opportunity</ns0:t>
      </ns0:r>
    </ns0:p>
    <ns0:p ns0:rsidR="00000000" ns0:rsidDel="00000000" ns0:rsidP="00000000" ns0:rsidRDefault="00000000" ns0:rsidRPr="00000000" ns1:paraId="00000018">
      <ns0:pPr>
        <ns0:numPr>
          <ns0:ilvl ns0:val="0"/>
          <ns0:numId ns0:val="7"/>
        </ns0:numPr>
        <ns0:ind ns0:left="360"/>
        <ns0:spacing ns0:before="0" ns0:after="0"/>
      </ns0:pPr>
      <ns0:r>
        <ns0:rPr>
          <ns0:rtl ns0:val="0"/>
        </ns0:rPr>
        <ns0:t xml:space="preserve">Rationalisation</ns0:t>
      </ns0:r>
    </ns0:p>
    <ns0:p ns0:rsidR="00000000" ns0:rsidDel="00000000" ns0:rsidP="00000000" ns0:rsidRDefault="00000000" ns0:rsidRPr="00000000" ns1:paraId="00000019">
      <ns0:pPr>
        <ns0:numPr>
          <ns0:ilvl ns0:val="0"/>
          <ns0:numId ns0:val="7"/>
        </ns0:numPr>
        <ns0:ind ns0:left="360"/>
        <ns0:spacing ns0:before="0" ns0:after="0"/>
      </ns0:pPr>
      <ns0:r>
        <ns0:rPr>
          <ns0:rtl ns0:val="0"/>
        </ns0:rPr>
        <ns0:t xml:space="preserve">Identified risks</ns0:t>
      </ns0:r>
    </ns0:p>
    <ns0:p ns0:rsidR="00000000" ns0:rsidDel="00000000" ns0:rsidP="00000000" ns0:rsidRDefault="00000000" ns0:rsidRPr="00000000" ns1:paraId="0000001A">
      <ns0:pPr>
        <ns0:numPr>
          <ns0:ilvl ns0:val="0"/>
          <ns0:numId ns0:val="7"/>
        </ns0:numPr>
        <ns0:ind ns0:left="360"/>
        <ns0:spacing ns0:before="0" ns0:after="0"/>
      </ns0:pPr>
      <ns0:r>
        <ns0:rPr>
          <ns0:rtl ns0:val="0"/>
        </ns0:rPr>
        <ns0:t xml:space="preserve">Conclusion</ns0:t>
      </ns0:r>
    </ns0:p>
    <ns0:p ns0:rsidR="00000000" ns0:rsidDel="00000000" ns0:rsidP="00000000" ns0:rsidRDefault="00000000" ns0:rsidRPr="00000000" ns1:paraId="0000001B">
      <ns0:pPr>
        <ns0:numPr>
          <ns0:ilvl ns0:val="0"/>
          <ns0:numId ns0:val="7"/>
        </ns0:numPr>
        <ns0:ind ns0:left="360"/>
        <ns0:spacing ns0:before="0" ns0:after="0"/>
      </ns0:pPr>
      <ns0:r>
        <ns0:rPr>
          <ns0:rtl ns0:val="0"/>
        </ns0:rPr>
        <ns0:t xml:space="preserve">Risk of material misstatement</ns0:t>
      </ns0:r>
    </ns0:p>
    <ns0:p ns0:rsidR="00000000" ns0:rsidDel="00000000" ns0:rsidP="00000000" ns0:rsidRDefault="00000000" ns0:rsidRPr="00000000" ns1:paraId="0000001C">
      <ns0:pPr>
        <ns0:widowControl ns0:val="0"/>
        <ns0:spacing ns0:after="0" ns0:line="276" ns0:lineRule="auto"/>
        <ns0:jc ns0:val="center"/>
        <ns0:rPr/>
      </ns0:pPr>
      <ns0:r>
        <ns0:rPr>
          <ns0:rtl ns0:val="0"/>
        </ns0:rPr>
        <ns0:t xml:space="preserve">[INSERT SCREENSHOT: Document map showing bookmarks]</ns0:t>
      </ns0:r>
    </ns0:p>
    <ns0:p ns0:rsidR="00000000" ns0:rsidDel="00000000" ns0:rsidP="00000000" ns0:rsidRDefault="00000000" ns0:rsidRPr="00000000" ns1:paraId="0000001D">
      <ns0:pPr>
        <ns0:pStyle ns0:val="Heading1"/>
        <ns0:rPr/>
      </ns0:pPr>
      <ns0:bookmarkStart ns0:colFirst="0" ns0:colLast="0" ns0:name="_identified_risks" ns0:id="5"/>
      <ns0:bookmarkEnd ns0:id="5"/>
      <ns0:r>
        <ns0:rPr>
          <ns0:rtl ns0:val="0"/>
        </ns0:rPr>
        <ns0:t xml:space="preserve">Identified risks</ns0:t>
      </ns0:r>
    </ns0:p>
    <ns0:p ns0:rsidR="00000000" ns0:rsidDel="00000000" ns0:rsidP="00000000" ns0:rsidRDefault="00000000" ns0:rsidRPr="00000000" ns1:paraId="0000001E">
      <ns0:pPr>
        <ns0:rPr/>
      </ns0:pPr>
      <ns0:r>
        <ns0:rPr>
          <ns0:rtl ns0:val="0"/>
        </ns0:rPr>
        <ns0:t xml:space="preserve">The Identified risks table is pre-populated with the presumed risk of management override of controls in terms of ISA 240.31 and ISA 240.32. Management is in a unique position to perpetrate fraud because of management’s ability to manipulate accounting records and prepare fraudulent financial statements by overriding controls. This presumed significant risk cannot be removed.</ns0:t>
      </ns0:r>
    </ns0:p>
    <ns0:p ns0:rsidR="00000000" ns0:rsidDel="00000000" ns0:rsidP="00000000" ns0:rsidRDefault="00000000" ns0:rsidRPr="00000000" ns1:paraId="0000001F">
      <ns0:pPr>
        <ns0:rPr/>
      </ns0:pPr>
      <ns0:r>
        <ns0:rPr>
          <ns0:rtl ns0:val="0"/>
        </ns0:rPr>
        <ns0:t xml:space="preserve">When recording a fraud risk using the RECORD BUTTON, all the input fields in the risk dialogue must be completed before submitting the risk. Upon submission, the information entered in the risk dialogue will populate the Identified risks table in this document and 12.20 – Audit plan and strategy.</ns0:t>
      </ns0:r>
    </ns0:p>
    <ns0:p ns0:rsidR="00000000" ns0:rsidDel="00000000" ns0:rsidP="00000000" ns0:rsidRDefault="00000000" ns0:rsidRPr="00000000" ns1:paraId="00000020">
      <ns0:pPr>
        <ns0:rPr/>
      </ns0:pPr>
      <ns0:r>
        <ns0:rPr>
          <ns0:rtl ns0:val="0"/>
        </ns0:rPr>
      </ns0:r>
    </ns0:p>
    <ns0:tbl>
      <ns0:tblPr>
        <ns0:tblStyle ns0:val="Table1"/>
        <ns0:tblW ns0:w="1011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580"/>
        <ns0:gridCol ns0:w="3645"/>
        <ns0:gridCol ns0:w="3885"/>
        <ns0:tblGridChange ns0:id="0">
          <ns0:tblGrid>
            <ns0:gridCol ns0:w="2580"/>
            <ns0:gridCol ns0:w="3645"/>
            <ns0:gridCol ns0:w="3885"/>
          </ns0:tblGrid>
        </ns0:tblGridChange>
      </ns0:tblGrid>
      <ns0:tr>
        <ns0:trPr>
          <ns0:cantSplit ns0:val="0"/>
          <ns0:tblHeader ns0:val="0"/>
        </ns0:trPr>
        <ns0:tc>
          <ns0:tcPr>
            <ns0:shd ns0:fill="auto" ns0:val="clear"/>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21">
            <ns0:pPr>
              <ns0:pStyle ns0:val="Heading3"/>
              <ns0:keepNext ns0:val="0"/>
              <ns0:keepLines ns0:val="0"/>
              <ns0:spacing ns0:after="0" ns0:before="0" ns0:line="276" ns0:lineRule="auto"/>
              <ns0:jc ns0:val="center"/>
              <ns0:rPr>
                <ns0:sz ns0:val="25"/>
                <ns0:szCs ns0:val="25"/>
              </ns0:rPr>
            </ns0:pPr>
            <ns0:r>
              <ns0:rPr>
                <ns0:color ns0:val="51626f"/>
                <ns0:sz ns0:val="25"/>
                <ns0:szCs ns0:val="25"/>
                <ns0:rtl ns0:val="0"/>
              </ns0:rPr>
              <ns0:t xml:space="preserve">Column</ns0:t>
            </ns0:r>
          </ns0:p>
        </ns0:tc>
        <ns0:tc>
          <ns0:tcPr>
            <ns0:shd ns0:fill="auto" ns0:val="clear"/>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22">
            <ns0:pPr>
              <ns0:pStyle ns0:val="Heading3"/>
              <ns0:keepNext ns0:val="0"/>
              <ns0:keepLines ns0:val="0"/>
              <ns0:spacing ns0:after="0" ns0:before="0" ns0:line="276" ns0:lineRule="auto"/>
              <ns0:jc ns0:val="center"/>
              <ns0:rPr>
                <ns0:color ns0:val="51626f"/>
                <ns0:sz ns0:val="25"/>
                <ns0:szCs ns0:val="25"/>
              </ns0:rPr>
            </ns0:pPr>
            <ns0:r>
              <ns0:rPr>
                <ns0:color ns0:val="51626f"/>
                <ns0:sz ns0:val="25"/>
                <ns0:szCs ns0:val="25"/>
                <ns0:rtl ns0:val="0"/>
              </ns0:rPr>
              <ns0:t xml:space="preserve">Input required</ns0:t>
            </ns0:r>
          </ns0:p>
        </ns0:tc>
        <ns0:tc>
          <ns0:tcPr>
            <ns0:shd ns0:fill="auto" ns0:val="clear"/>
            <ns0:tcMar>
              <ns0:top ns0:w="100.0" ns0:type="dxa"/>
              <ns0:left ns0:w="100.0" ns0:type="dxa"/>
              <ns0:bottom ns0:w="100.0" ns0:type="dxa"/>
              <ns0:right ns0:w="100.0" ns0:type="dxa"/>
            </ns0:tcMar>
            <ns0:vAlign ns0:val="center"/>
          </ns0:tcPr>
          <ns0:p ns0:rsidR="00000000" ns0:rsidDel="00000000" ns0:rsidP="00000000" ns0:rsidRDefault="00000000" ns0:rsidRPr="00000000" ns1:paraId="00000023">
            <ns0:pPr>
              <ns0:pStyle ns0:val="Heading3"/>
              <ns0:keepNext ns0:val="0"/>
              <ns0:keepLines ns0:val="0"/>
              <ns0:spacing ns0:after="0" ns0:before="0" ns0:line="276" ns0:lineRule="auto"/>
              <ns0:jc ns0:val="center"/>
              <ns0:rPr>
                <ns0:sz ns0:val="25"/>
                <ns0:szCs ns0:val="25"/>
              </ns0:rPr>
            </ns0:pPr>
            <ns0:r>
              <ns0:rPr>
                <ns0:color ns0:val="51626f"/>
                <ns0:sz ns0:val="25"/>
                <ns0:szCs ns0:val="25"/>
                <ns0:rtl ns0:val="0"/>
              </ns0:rPr>
              <ns0:t xml:space="preserve">Outcome</ns0:t>
            </ns0:r>
          </ns0:p>
        </ns0:tc>
      </ns0:tr>
      <ns0:tr>
        <ns0:trPr>
          <ns0:cantSplit ns0:val="0"/>
          <ns0:tblHeader ns0:val="0"/>
        </ns0:trPr>
        <ns0:tc>
          <ns0:tcPr>
            <ns0:shd ns0:fill="auto" ns0:val="clear"/>
          </ns0:tcPr>
          <ns0:p ns1:paraId="00000024">
            <ns0:pPr>
              <ns0:spacing ns0:after="0" ns0:line="240" ns0:lineRule="auto"/>
              <ns0:rPr>
                <ns0:b ns0:val="1"/>
                <ns0:bCs ns0:val="1"/>
              </ns0:rPr>
            </ns0:pPr>
            <ns0:r>
              <ns0:rPr>
                <ns0:b ns0:val="1"/>
                <ns0:bCs ns0:val="1"/>
                <ns0:rtl ns0:val="0"/>
              </ns0:rPr>
              <ns0:t xml:space="preserve">Source</ns0:t>
            </ns0:r>
          </ns0:p>
        </ns0:tc>
        <ns0:tc>
          <ns0:tcPr>
            <ns0:shd ns0:fill="auto" ns0:val="clear"/>
          </ns0:tcPr>
          <ns0:p ns1:paraId="00000025">
            <ns0:pPr>
              <ns0:spacing ns0:after="0" ns0:line="240" ns0:lineRule="auto"/>
              <ns0:rPr/>
            </ns0:pPr>
            <ns0:r>
              <ns0:rPr>
                <ns0:rtl ns0:val="0"/>
              </ns0:rPr>
              <ns0:t xml:space="preserve">Insert the reference of the document where the risk was identified. You can double-click on the source input cell to insert the previous document you worked on or type in the source document.</ns0:t>
            </ns0:r>
          </ns0:p>
        </ns0:tc>
        <ns0:tc>
          <ns0:tcPr>
            <ns0:shd ns0:fill="auto" ns0:val="clear"/>
          </ns0:tcPr>
          <ns0:p ns1:paraId="00000026">
            <ns0:pPr>
              <ns0:spacing ns0:after="0" ns0:line="240" ns0:lineRule="auto"/>
              <ns0:rPr/>
            </ns0:pPr>
            <ns0:r>
              <ns0:rPr>
                <ns0:rtl ns0:val="0"/>
              </ns0:rPr>
              <ns0:t xml:space="preserve">The input will populate the risk tables in this document and 12.20 – Audit plan and strategy.</ns0:t>
            </ns0:r>
          </ns0:p>
        </ns0:tc>
      </ns0:tr>
      <ns0:tr>
        <ns0:trPr>
          <ns0:cantSplit ns0:val="0"/>
          <ns0:tblHeader ns0:val="0"/>
        </ns0:trPr>
        <ns0:tc>
          <ns0:tcPr>
            <ns0:shd ns0:fill="auto" ns0:val="clear"/>
          </ns0:tcPr>
          <ns0:p ns1:paraId="00000027">
            <ns0:pPr>
              <ns0:spacing ns0:after="0" ns0:line="240" ns0:lineRule="auto"/>
              <ns0:rPr>
                <ns0:b ns0:val="1"/>
                <ns0:bCs ns0:val="1"/>
              </ns0:rPr>
            </ns0:pPr>
            <ns0:r>
              <ns0:rPr>
                <ns0:b ns0:val="1"/>
                <ns0:bCs ns0:val="1"/>
                <ns0:rtl ns0:val="0"/>
              </ns0:rPr>
              <ns0:t xml:space="preserve">Risk</ns0:t>
            </ns0:r>
          </ns0:p>
        </ns0:tc>
        <ns0:tc>
          <ns0:tcPr>
            <ns0:shd ns0:fill="auto" ns0:val="clear"/>
          </ns0:tcPr>
          <ns0:p ns1:paraId="00000028">
            <ns0:pPr>
              <ns0:spacing ns0:after="0" ns0:line="240" ns0:lineRule="auto"/>
              <ns0:rPr/>
            </ns0:pPr>
            <ns0:r>
              <ns0:rPr>
                <ns0:rtl ns0:val="0"/>
              </ns0:rPr>
              <ns0:t xml:space="preserve">Insert a brief description of the risk identified.</ns0:t>
            </ns0:r>
          </ns0:p>
        </ns0:tc>
        <ns0:tc>
          <ns0:tcPr>
            <ns0:shd ns0:fill="auto" ns0:val="clear"/>
          </ns0:tcPr>
          <ns0:p ns1:paraId="00000029">
            <ns0:pPr>
              <ns0:spacing ns0:after="0" ns0:line="240" ns0:lineRule="auto"/>
              <ns0:rPr/>
            </ns0:pPr>
            <ns0:r>
              <ns0:rPr>
                <ns0:rtl ns0:val="0"/>
              </ns0:rPr>
              <ns0:t xml:space="preserve">The input will populate the risk tables in this document and 12.20 – Audit plan and strategy. It also pulls through to 02.00 – Partner sign-off.</ns0:t>
            </ns0:r>
          </ns0:p>
        </ns0:tc>
      </ns0:tr>
      <ns0:tr>
        <ns0:trPr>
          <ns0:cantSplit ns0:val="0"/>
          <ns0:tblHeader ns0:val="0"/>
        </ns0:trPr>
        <ns0:tc>
          <ns0:tcPr>
            <ns0:shd ns0:fill="auto" ns0:val="clear"/>
          </ns0:tcPr>
          <ns0:p ns1:paraId="0000002A">
            <ns0:pPr>
              <ns0:spacing ns0:after="0" ns0:line="240" ns0:lineRule="auto"/>
              <ns0:rPr>
                <ns0:b ns0:val="1"/>
                <ns0:bCs ns0:val="1"/>
              </ns0:rPr>
            </ns0:pPr>
            <ns0:r>
              <ns0:rPr>
                <ns0:b ns0:val="1"/>
                <ns0:bCs ns0:val="1"/>
                <ns0:rtl ns0:val="0"/>
              </ns0:rPr>
              <ns0:t xml:space="preserve">ROMM considerations</ns0:t>
            </ns0:r>
          </ns0:p>
        </ns0:tc>
        <ns0:tc>
          <ns0:tcPr>
            <ns0:shd ns0:fill="auto" ns0:val="clear"/>
          </ns0:tcPr>
          <ns0:p ns1:paraId="0000002B">
            <ns0:pPr>
              <ns0:spacing ns0:after="0" ns0:line="240" ns0:lineRule="auto"/>
              <ns0:rPr/>
            </ns0:pPr>
            <ns0:r>
              <ns0:rPr>
                <ns0:rtl ns0:val="0"/>
              </ns0:rPr>
              <ns0:t xml:space="preserve">Document further evidence used to assess the identified risk of material misstatement (ROMM) at financial statement level.</ns0:t>
            </ns0:r>
          </ns0:p>
        </ns0:tc>
        <ns0:tc>
          <ns0:tcPr>
            <ns0:shd ns0:fill="auto" ns0:val="clear"/>
          </ns0:tcPr>
          <ns0:p ns1:paraId="0000002C">
            <ns0:pPr>
              <ns0:spacing ns0:after="0" ns0:line="240" ns0:lineRule="auto"/>
              <ns0:rPr/>
            </ns0:pPr>
            <ns0:r>
              <ns0:rPr>
                <ns0:rtl ns0:val="0"/>
              </ns0:rPr>
              <ns0:t xml:space="preserve">The input will populate the risk tables in this document and 12.20 – Audit plan and strategy.</ns0:t>
            </ns0:r>
          </ns0:p>
        </ns0:tc>
      </ns0:tr>
      <ns0:tr>
        <ns0:trPr>
          <ns0:cantSplit ns0:val="0"/>
          <ns0:tblHeader ns0:val="0"/>
        </ns0:trPr>
        <ns0:tc>
          <ns0:tcPr>
            <ns0:shd ns0:fill="auto" ns0:val="clear"/>
          </ns0:tcPr>
          <ns0:p ns1:paraId="0000002D">
            <ns0:pPr>
              <ns0:spacing ns0:after="0" ns0:line="240" ns0:lineRule="auto"/>
              <ns0:rPr>
                <ns0:b ns0:val="1"/>
                <ns0:bCs ns0:val="1"/>
              </ns0:rPr>
            </ns0:pPr>
            <ns0:r>
              <ns0:rPr>
                <ns0:b ns0:val="1"/>
                <ns0:bCs ns0:val="1"/>
                <ns0:rtl ns0:val="0"/>
              </ns0:rPr>
              <ns0:t xml:space="preserve">Significant risk</ns0:t>
            </ns0:r>
          </ns0:p>
        </ns0:tc>
        <ns0:tc>
          <ns0:tcPr>
            <ns0:shd ns0:fill="auto" ns0:val="clear"/>
          </ns0:tcPr>
          <ns0:p ns1:paraId="0000002E">
            <ns0:pPr>
              <ns0:spacing ns0:after="0" ns0:line="240" ns0:lineRule="auto"/>
              <ns0:rPr/>
            </ns0:pPr>
            <ns0:r>
              <ns0:rPr>
                <ns0:rtl ns0:val="0"/>
              </ns0:rPr>
              <ns0:t xml:space="preserve">This selection will appear when the ROMM is assessed as “High”. Select whether the risk is assessed as a significant risk.</ns0:t>
            </ns0:r>
          </ns0:p>
        </ns0:tc>
        <ns0:tc>
          <ns0:tcPr>
            <ns0:shd ns0:fill="auto" ns0:val="clear"/>
          </ns0:tcPr>
          <ns0:p ns1:paraId="0000002F">
            <ns0:pPr>
              <ns0:spacing ns0:after="0" ns0:line="240" ns0:lineRule="auto"/>
              <ns0:rPr/>
            </ns0:pPr>
            <ns0:r>
              <ns0:rPr>
                <ns0:rtl ns0:val="0"/>
              </ns0:rPr>
              <ns0:t xml:space="preserve">When a risk is assessed as significant, the risk tables in this document and 12.20 – Audit plan and strategy are updated. This will also result in an extended risk table being shown in 02.00 – Partner sign-off.</ns0:t>
            </ns0:r>
          </ns0:p>
        </ns0:tc>
      </ns0:tr>
      <ns0:tr>
        <ns0:trPr>
          <ns0:cantSplit ns0:val="0"/>
          <ns0:tblHeader ns0:val="0"/>
        </ns0:trPr>
        <ns0:tc>
          <ns0:tcPr>
            <ns0:shd ns0:fill="auto" ns0:val="clear"/>
          </ns0:tcPr>
          <ns0:p ns1:paraId="00000030">
            <ns0:pPr>
              <ns0:spacing ns0:after="0" ns0:line="240" ns0:lineRule="auto"/>
              <ns0:rPr>
                <ns0:b ns0:val="1"/>
                <ns0:bCs ns0:val="1"/>
              </ns0:rPr>
            </ns0:pPr>
            <ns0:r>
              <ns0:rPr>
                <ns0:b ns0:val="1"/>
                <ns0:bCs ns0:val="1"/>
                <ns0:rtl ns0:val="0"/>
              </ns0:rPr>
              <ns0:t xml:space="preserve">ROMM</ns0:t>
            </ns0:r>
          </ns0:p>
        </ns0:tc>
        <ns0:tc>
          <ns0:tcPr>
            <ns0:shd ns0:fill="auto" ns0:val="clear"/>
          </ns0:tcPr>
          <ns0:p ns1:paraId="00000031">
            <ns0:pPr>
              <ns0:spacing ns0:after="0" ns0:line="240" ns0:lineRule="auto"/>
              <ns0:rPr/>
            </ns0:pPr>
            <ns0:r>
              <ns0:rPr>
                <ns0:rtl ns0:val="0"/>
              </ns0:rPr>
              <ns0:t xml:space="preserve">Select low, medium or high based on your assessment of ROMM.</ns0:t>
            </ns0:r>
          </ns0:p>
        </ns0:tc>
        <ns0:tc>
          <ns0:tcPr>
            <ns0:shd ns0:fill="auto" ns0:val="clear"/>
          </ns0:tcPr>
          <ns0:p ns1:paraId="00000032">
            <ns0:pPr>
              <ns0:spacing ns0:after="0" ns0:line="240" ns0:lineRule="auto"/>
              <ns0:rPr/>
            </ns0:pPr>
            <ns0:r>
              <ns0:rPr>
                <ns0:rtl ns0:val="0"/>
              </ns0:rPr>
              <ns0:t xml:space="preserve">The input will populate the risk tables in this document and 12.20 – Audit plan and strategy.</ns0:t>
            </ns0:r>
          </ns0:p>
        </ns0:tc>
      </ns0:tr>
      <ns0:tr>
        <ns0:trPr>
          <ns0:cantSplit ns0:val="0"/>
          <ns0:tblHeader ns0:val="0"/>
        </ns0:trPr>
        <ns0:tc>
          <ns0:tcPr>
            <ns0:shd ns0:fill="auto" ns0:val="clear"/>
          </ns0:tcPr>
          <ns0:p ns1:paraId="00000033">
            <ns0:pPr>
              <ns0:spacing ns0:after="0" ns0:line="240" ns0:lineRule="auto"/>
              <ns0:rPr>
                <ns0:b ns0:val="1"/>
                <ns0:bCs ns0:val="1"/>
              </ns0:rPr>
            </ns0:pPr>
            <ns0:r>
              <ns0:rPr>
                <ns0:b ns0:val="1"/>
                <ns0:bCs ns0:val="1"/>
                <ns0:rtl ns0:val="0"/>
              </ns0:rPr>
              <ns0:t xml:space="preserve">Overall response</ns0:t>
            </ns0:r>
          </ns0:p>
        </ns0:tc>
        <ns0:tc>
          <ns0:tcPr>
            <ns0:shd ns0:fill="auto" ns0:val="clear"/>
          </ns0:tcPr>
          <ns0:p ns1:paraId="00000034">
            <ns0:pPr>
              <ns0:spacing ns0:after="0" ns0:line="240" ns0:lineRule="auto"/>
              <ns0:rPr/>
            </ns0:pPr>
            <ns0:r>
              <ns0:rPr>
                <ns0:rtl ns0:val="0"/>
              </ns0:rPr>
              <ns0:t xml:space="preserve">Select overall response(s) to the identified risk.</ns0:t>
            </ns0:r>
          </ns0:p>
        </ns0:tc>
        <ns0:tc>
          <ns0:tcPr>
            <ns0:shd ns0:fill="auto" ns0:val="clear"/>
          </ns0:tcPr>
          <ns0:p ns1:paraId="00000035">
            <ns0:pPr>
              <ns0:spacing ns0:after="0" ns0:line="240" ns0:lineRule="auto"/>
              <ns0:rPr/>
            </ns0:pPr>
            <ns0:r>
              <ns0:rPr>
                <ns0:rtl ns0:val="0"/>
              </ns0:rPr>
              <ns0:t xml:space="preserve">The input will populate the risk tables in this document and 12.20 – Audit plan and strategy. An additional overall response section will be included on this document and selections automated based on the selections made with the Risk Dialog. When the risk is significant, this will also update the risk table in 02.00 – Partner sign-off.</ns0:t>
            </ns0:r>
          </ns0:p>
        </ns0:tc>
      </ns0:tr>
    </ns0:tbl>
    <ns0:p ns0:rsidR="00000000" ns0:rsidDel="00000000" ns0:rsidP="00000000" ns0:rsidRDefault="00000000" ns0:rsidRPr="00000000" ns1:paraId="00000036">
      <ns0:pPr>
        <ns0:rPr/>
      </ns0:pPr>
      <ns0:r>
        <ns0:rPr>
          <ns0:rtl ns0:val="0"/>
        </ns0:rPr>
      </ns0:r>
    </ns0:p>
    <ns0:p ns0:rsidR="00000000" ns0:rsidDel="00000000" ns0:rsidP="00000000" ns0:rsidRDefault="00000000" ns0:rsidRPr="00000000" ns1:paraId="00000037">
      <ns0:pPr>
        <ns0:pStyle ns0:val="Heading1"/>
        <ns0:rPr>
          <ns0:sz ns0:val="22"/>
          <ns0:szCs ns0:val="22"/>
          <ns0:shd ns0:fill="auto" ns0:val="clear"/>
        </ns0:rPr>
      </ns0:pPr>
      <ns0:bookmarkStart ns0:colFirst="0" ns0:colLast="0" ns0:name="_layout" ns0:id="6"/>
      <ns0:bookmarkEnd ns0:id="6"/>
      <ns0:r>
        <ns0:rPr>
          <ns0:rtl ns0:val="0"/>
        </ns0:rPr>
        <ns0:t xml:space="preserve">Layout</ns0:t>
      </ns0:r>
    </ns0:p>
    <ns0:tbl>
      <ns0:tblPr>
        <ns0:tblStyle ns0:val="Table2"/>
        <ns0:tblW ns0:w="10110.0" ns0:type="dxa"/>
        <ns0:jc ns0:val="left"/>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580"/>
        <ns0:gridCol ns0:w="3645"/>
        <ns0:gridCol ns0:w="3885"/>
        <ns0:tblGridChange ns0:id="0">
          <ns0:tblGrid>
            <ns0:gridCol ns0:w="2580"/>
            <ns0:gridCol ns0:w="3645"/>
            <ns0:gridCol ns0:w="3885"/>
          </ns0:tblGrid>
        </ns0:tblGridChange>
      </ns0:tblGrid>
      <ns0:tr>
        <ns0:trPr>
          <ns0:cantSplit ns0:val="0"/>
          <ns0:tblHeader ns0:val="0"/>
        </ns0:trPr>
        <ns0:tc>
          <ns0:tcPr>
            <ns0:shd ns0:fill="auto" ns0:val="clear"/>
            <ns0:tcMar>
              <ns0:top ns0:w="100.0" ns0:type="dxa"/>
              <ns0:left ns0:w="100.0" ns0:type="dxa"/>
              <ns0:bottom ns0:w="100.0" ns0:type="dxa"/>
              <ns0:right ns0:w="100.0" ns0:type="dxa"/>
            </ns0:tcMar>
            <ns0:vAlign ns0:val="center"/>
          </ns0:tcPr>
          <ns0:p ns1:paraId="00000038">
            <ns0:pPr>
              <ns0:pStyle ns0:val="Heading3"/>
              <ns0:keepNext ns0:val="0"/>
              <ns0:keepLines ns0:val="0"/>
              <ns0:spacing ns0:after="0" ns0:before="0" ns0:line="276" ns0:lineRule="auto"/>
              <ns0:jc ns0:val="center"/>
              <ns0:rPr>
                <ns0:sz ns0:val="25"/>
                <ns0:szCs ns0:val="25"/>
              </ns0:rPr>
            </ns0:pPr>
            <ns0:r>
              <ns0:rPr>
                <ns0:color ns0:val="51626f"/>
                <ns0:sz ns0:val="25"/>
                <ns0:szCs ns0:val="25"/>
                <ns0:rtl ns0:val="0"/>
              </ns0:rPr>
              <ns0:t xml:space="preserve">Column</ns0:t>
            </ns0:r>
          </ns0:p>
        </ns0:tc>
        <ns0:tc>
          <ns0:tcPr>
            <ns0:shd ns0:fill="auto" ns0:val="clear"/>
            <ns0:tcMar>
              <ns0:top ns0:w="100.0" ns0:type="dxa"/>
              <ns0:left ns0:w="100.0" ns0:type="dxa"/>
              <ns0:bottom ns0:w="100.0" ns0:type="dxa"/>
              <ns0:right ns0:w="100.0" ns0:type="dxa"/>
            </ns0:tcMar>
            <ns0:vAlign ns0:val="center"/>
          </ns0:tcPr>
          <ns0:p ns1:paraId="00000039">
            <ns0:pPr>
              <ns0:pStyle ns0:val="Heading3"/>
              <ns0:keepNext ns0:val="0"/>
              <ns0:keepLines ns0:val="0"/>
              <ns0:spacing ns0:after="0" ns0:before="0" ns0:line="276" ns0:lineRule="auto"/>
              <ns0:jc ns0:val="center"/>
              <ns0:rPr>
                <ns0:color ns0:val="51626f"/>
                <ns0:sz ns0:val="25"/>
                <ns0:szCs ns0:val="25"/>
              </ns0:rPr>
            </ns0:pPr>
            <ns0:r>
              <ns0:rPr>
                <ns0:color ns0:val="51626f"/>
                <ns0:sz ns0:val="25"/>
                <ns0:szCs ns0:val="25"/>
                <ns0:rtl ns0:val="0"/>
              </ns0:rPr>
              <ns0:t xml:space="preserve">Input required</ns0:t>
            </ns0:r>
          </ns0:p>
        </ns0:tc>
        <ns0:tc>
          <ns0:tcPr>
            <ns0:shd ns0:fill="auto" ns0:val="clear"/>
            <ns0:tcMar>
              <ns0:top ns0:w="100.0" ns0:type="dxa"/>
              <ns0:left ns0:w="100.0" ns0:type="dxa"/>
              <ns0:bottom ns0:w="100.0" ns0:type="dxa"/>
              <ns0:right ns0:w="100.0" ns0:type="dxa"/>
            </ns0:tcMar>
            <ns0:vAlign ns0:val="center"/>
          </ns0:tcPr>
          <ns0:p ns1:paraId="0000003A">
            <ns0:pPr>
              <ns0:pStyle ns0:val="Heading3"/>
              <ns0:keepNext ns0:val="0"/>
              <ns0:keepLines ns0:val="0"/>
              <ns0:spacing ns0:after="0" ns0:before="0" ns0:line="276" ns0:lineRule="auto"/>
              <ns0:jc ns0:val="center"/>
              <ns0:rPr>
                <ns0:sz ns0:val="25"/>
                <ns0:szCs ns0:val="25"/>
              </ns0:rPr>
            </ns0:pPr>
            <ns0:r>
              <ns0:rPr>
                <ns0:color ns0:val="51626f"/>
                <ns0:sz ns0:val="25"/>
                <ns0:szCs ns0:val="25"/>
                <ns0:rtl ns0:val="0"/>
              </ns0:rPr>
              <ns0:t xml:space="preserve">Outcome</ns0:t>
            </ns0:r>
          </ns0:p>
        </ns0:tc>
      </ns0:tr>
      <ns0:tr>
        <ns0:trPr>
          <ns0:cantSplit ns0:val="0"/>
          <ns0:trHeight ns0:val="410" ns0:hRule="atLeast"/>
          <ns0:tblHeader ns0:val="0"/>
        </ns0:trPr>
        <ns0:tc>
          <ns0:tcPr>
            <ns0:gridSpan ns0:val="3"/>
            <ns0:shd ns0:fill="auto" ns0:val="clear"/>
            <ns0:tcMar>
              <ns0:top ns0:w="100.0" ns0:type="dxa"/>
              <ns0:left ns0:w="100.0" ns0:type="dxa"/>
              <ns0:bottom ns0:w="100.0" ns0:type="dxa"/>
              <ns0:right ns0:w="100.0" ns0:type="dxa"/>
            </ns0:tcMar>
            <ns0:vAlign ns0:val="center"/>
          </ns0:tcPr>
          <ns0:p ns1:paraId="0000003B">
            <ns0:pPr>
              <ns0:spacing ns0:after="0" ns0:line="240" ns0:lineRule="auto"/>
              <ns0:jc ns0:val="center"/>
              <ns0:rPr>
                <ns0:b ns0:val="1"/>
                <ns0:bCs ns0:val="1"/>
              </ns0:rPr>
            </ns0:pPr>
            <ns0:r>
              <ns0:rPr>
                <ns0:b ns0:val="1"/>
                <ns0:bCs ns0:val="1"/>
                <ns0:rtl ns0:val="0"/>
              </ns0:rPr>
              <ns0:t xml:space="preserve">Risk assessment procedures</ns0:t>
            </ns0:r>
          </ns0:p>
        </ns0:tc>
      </ns0:tr>
      <ns0:tr>
        <ns0:trPr>
          <ns0:cantSplit ns0:val="0"/>
          <ns0:tblHeader ns0:val="0"/>
        </ns0:trPr>
        <ns0:tc>
          <ns0:tcPr>
            <ns0:shd ns0:fill="auto" ns0:val="clear"/>
          </ns0:tcPr>
          <ns0:p ns1:paraId="0000003C">
            <ns0:pPr>
              <ns0:spacing ns0:after="0" ns0:line="240" ns0:lineRule="auto"/>
              <ns0:rPr>
                <ns0:b ns0:val="1"/>
                <ns0:bCs ns0:val="1"/>
              </ns0:rPr>
            </ns0:pPr>
            <ns0:r>
              <ns0:rPr>
                <ns0:b ns0:val="1"/>
                <ns0:bCs ns0:val="1"/>
                <ns0:rtl ns0:val="0"/>
              </ns0:rPr>
              <ns0:t xml:space="preserve">Type of procedures</ns0:t>
            </ns0:r>
          </ns0:p>
        </ns0:tc>
        <ns0:tc>
          <ns0:tcPr>
            <ns0:shd ns0:fill="auto" ns0:val="clear"/>
          </ns0:tcPr>
          <ns0:p ns1:paraId="0000003D">
            <ns0:pPr>
              <ns0:spacing ns0:after="0" ns0:line="240" ns0:lineRule="auto"/>
              <ns0:rPr/>
            </ns0:pPr>
            <ns0:r>
              <ns0:rPr>
                <ns0:rtl ns0:val="0"/>
              </ns0:rPr>
              <ns0:t xml:space="preserve">No input is required in this column.</ns0:t>
            </ns0:r>
          </ns0:p>
        </ns0:tc>
        <ns0:tc>
          <ns0:tcPr>
            <ns0:shd ns0:fill="auto" ns0:val="clear"/>
          </ns0:tcPr>
          <ns0:p ns1:paraId="0000003E">
            <ns0:pPr>
              <ns0:spacing ns0:after="0" ns0:line="240" ns0:lineRule="auto"/>
              <ns0:rPr/>
            </ns0:pPr>
            <ns0:r>
              <ns0:rPr>
                <ns0:rtl ns0:val="0"/>
              </ns0:rPr>
              <ns0:t xml:space="preserve">No impact on the engagement file.</ns0:t>
            </ns0:r>
          </ns0:p>
        </ns0:tc>
      </ns0:tr>
      <ns0:tr>
        <ns0:trPr>
          <ns0:cantSplit ns0:val="0"/>
          <ns0:tblHeader ns0:val="0"/>
        </ns0:trPr>
        <ns0:tc>
          <ns0:tcPr>
            <ns0:shd ns0:fill="auto" ns0:val="clear"/>
          </ns0:tcPr>
          <ns0:p ns1:paraId="0000003F">
            <ns0:pPr>
              <ns0:spacing ns0:after="0" ns0:line="240" ns0:lineRule="auto"/>
              <ns0:rPr>
                <ns0:b ns0:val="1"/>
                <ns0:bCs ns0:val="1"/>
              </ns0:rPr>
            </ns0:pPr>
            <ns0:r>
              <ns0:rPr>
                <ns0:b ns0:val="1"/>
                <ns0:bCs ns0:val="1"/>
                <ns0:rtl ns0:val="0"/>
              </ns0:rPr>
              <ns0:t xml:space="preserve">Select</ns0:t>
            </ns0:r>
          </ns0:p>
        </ns0:tc>
        <ns0:tc>
          <ns0:tcPr>
            <ns0:shd ns0:fill="auto" ns0:val="clear"/>
          </ns0:tcPr>
          <ns0:p ns1:paraId="00000040">
            <ns0:pPr>
              <ns0:spacing ns0:after="0" ns0:line="240" ns0:lineRule="auto"/>
              <ns0:rPr/>
            </ns0:pPr>
            <ns0:r>
              <ns0:rPr>
                <ns0:rtl ns0:val="0"/>
              </ns0:rPr>
              <ns0:t xml:space="preserve">Select the risk assessment procedures performed by clicking on the relevant tick box (i.e. inquiries, observations and/or inspections).</ns0:t>
            </ns0:r>
          </ns0:p>
        </ns0:tc>
        <ns0:tc>
          <ns0:tcPr>
            <ns0:shd ns0:fill="auto" ns0:val="clear"/>
          </ns0:tcPr>
          <ns0:p ns1:paraId="00000041">
            <ns0:pPr>
              <ns0:spacing ns0:after="0" ns0:line="240" ns0:lineRule="auto"/>
              <ns0:rPr/>
            </ns0:pPr>
            <ns0:r>
              <ns0:rPr>
                <ns0:rtl ns0:val="0"/>
              </ns0:rPr>
              <ns0:t xml:space="preserve">No impact on the engagement file.</ns0:t>
            </ns0:r>
          </ns0:p>
        </ns0:tc>
      </ns0:tr>
      <ns0:tr>
        <ns0:trPr>
          <ns0:cantSplit ns0:val="0"/>
          <ns0:tblHeader ns0:val="0"/>
        </ns0:trPr>
        <ns0:tc>
          <ns0:tcPr>
            <ns0:shd ns0:fill="auto" ns0:val="clear"/>
          </ns0:tcPr>
          <ns0:p ns1:paraId="00000042">
            <ns0:pPr>
              <ns0:spacing ns0:after="0" ns0:line="240" ns0:lineRule="auto"/>
              <ns0:rPr>
                <ns0:b ns0:val="1"/>
                <ns0:bCs ns0:val="1"/>
              </ns0:rPr>
            </ns0:pPr>
            <ns0:r>
              <ns0:rPr>
                <ns0:b ns0:val="1"/>
                <ns0:bCs ns0:val="1"/>
                <ns0:rtl ns0:val="0"/>
              </ns0:rPr>
              <ns0:t xml:space="preserve">Describe the source(s) from which information was obtained</ns0:t>
            </ns0:r>
          </ns0:p>
        </ns0:tc>
        <ns0:tc>
          <ns0:tcPr>
            <ns0:shd ns0:fill="auto" ns0:val="clear"/>
          </ns0:tcPr>
          <ns0:p ns1:paraId="00000043">
            <ns0:pPr>
              <ns0:spacing ns0:after="0" ns0:line="240" ns0:lineRule="auto"/>
              <ns0:rPr/>
            </ns0:pPr>
            <ns0:r>
              <ns0:rPr>
                <ns0:rtl ns0:val="0"/>
              </ns0:rPr>
              <ns0:t xml:space="preserve">Insert a short description of the sources of information from which the understanding was obtained or the procedures performed. When inquiries is selected, record the name and designation of the interviewee and the date of the inquiry.</ns0:t>
            </ns0:r>
          </ns0:p>
        </ns0:tc>
        <ns0:tc>
          <ns0:tcPr>
            <ns0:shd ns0:fill="auto" ns0:val="clear"/>
          </ns0:tcPr>
          <ns0:p ns1:paraId="00000044">
            <ns0:pPr>
              <ns0:spacing ns0:after="0" ns0:line="240" ns0:lineRule="auto"/>
              <ns0:rPr/>
            </ns0:pPr>
            <ns0:r>
              <ns0:rPr>
                <ns0:rtl ns0:val="0"/>
              </ns0:rPr>
              <ns0:t xml:space="preserve">No impact on the engagement file.</ns0:t>
            </ns0:r>
          </ns0:p>
        </ns0:tc>
      </ns0:tr>
      <ns0:tr>
        <ns0:trPr>
          <ns0:cantSplit ns0:val="0"/>
          <ns0:trHeight ns0:val="410" ns0:hRule="atLeast"/>
          <ns0:tblHeader ns0:val="0"/>
        </ns0:trPr>
        <ns0:tc>
          <ns0:tcPr>
            <ns0:gridSpan ns0:val="3"/>
            <ns0:shd ns0:fill="auto" ns0:val="clear"/>
            <ns0:tcMar>
              <ns0:top ns0:w="100.0" ns0:type="dxa"/>
              <ns0:left ns0:w="100.0" ns0:type="dxa"/>
              <ns0:bottom ns0:w="100.0" ns0:type="dxa"/>
              <ns0:right ns0:w="100.0" ns0:type="dxa"/>
            </ns0:tcMar>
            <ns0:vAlign ns0:val="center"/>
          </ns0:tcPr>
          <ns0:p ns1:paraId="00000045">
            <ns0:pPr>
              <ns0:spacing ns0:after="0" ns0:line="240" ns0:lineRule="auto"/>
              <ns0:jc ns0:val="center"/>
              <ns0:rPr>
                <ns0:b ns0:val="1"/>
                <ns0:bCs ns0:val="1"/>
              </ns0:rPr>
            </ns0:pPr>
            <ns0:r>
              <ns0:rPr>
                <ns0:b ns0:val="1"/>
                <ns0:bCs ns0:val="1"/>
                <ns0:rtl ns0:val="0"/>
              </ns0:rPr>
              <ns0:t xml:space="preserve">Incentive / Opportunity / Rationalisation</ns0:t>
            </ns0:r>
          </ns0:p>
        </ns0:tc>
      </ns0:tr>
      <ns0:tr>
        <ns0:trPr>
          <ns0:cantSplit ns0:val="0"/>
          <ns0:tblHeader ns0:val="0"/>
        </ns0:trPr>
        <ns0:tc>
          <ns0:tcPr>
            <ns0:shd ns0:fill="auto" ns0:val="clear"/>
          </ns0:tcPr>
          <ns0:p ns1:paraId="00000046">
            <ns0:pPr>
              <ns0:spacing ns0:after="0" ns0:line="240" ns0:lineRule="auto"/>
              <ns0:rPr>
                <ns0:b ns0:val="1"/>
                <ns0:bCs ns0:val="1"/>
              </ns0:rPr>
            </ns0:pPr>
            <ns0:r>
              <ns0:rPr>
                <ns0:b ns0:val="1"/>
                <ns0:bCs ns0:val="1"/>
                <ns0:rtl ns0:val="0"/>
              </ns0:rPr>
              <ns0:t xml:space="preserve">Question</ns0:t>
            </ns0:r>
          </ns0:p>
        </ns0:tc>
        <ns0:tc>
          <ns0:tcPr>
            <ns0:shd ns0:fill="auto" ns0:val="clear"/>
          </ns0:tcPr>
          <ns0:p ns1:paraId="00000047">
            <ns0:pPr>
              <ns0:spacing ns0:after="0" ns0:line="240" ns0:lineRule="auto"/>
              <ns0:rPr/>
            </ns0:pPr>
            <ns0:r>
              <ns0:rPr>
                <ns0:rtl ns0:val="0"/>
              </ns0:rPr>
              <ns0:t xml:space="preserve">No input is required in this column.</ns0:t>
            </ns0:r>
          </ns0:p>
        </ns0:tc>
        <ns0:tc>
          <ns0:tcPr>
            <ns0:shd ns0:fill="auto" ns0:val="clear"/>
          </ns0:tcPr>
          <ns0:p ns1:paraId="00000048">
            <ns0:pPr>
              <ns0:spacing ns0:after="0" ns0:line="240" ns0:lineRule="auto"/>
              <ns0:rPr/>
            </ns0:pPr>
            <ns0:r>
              <ns0:rPr>
                <ns0:rtl ns0:val="0"/>
              </ns0:rPr>
              <ns0:t xml:space="preserve">No impact on the engagement file.</ns0:t>
            </ns0:r>
          </ns0:p>
        </ns0:tc>
      </ns0:tr>
      <ns0:tr>
        <ns0:trPr>
          <ns0:cantSplit ns0:val="0"/>
          <ns0:tblHeader ns0:val="0"/>
        </ns0:trPr>
        <ns0:tc>
          <ns0:tcPr>
            <ns0:shd ns0:fill="auto" ns0:val="clear"/>
          </ns0:tcPr>
          <ns0:p ns1:paraId="00000049">
            <ns0:pPr>
              <ns0:spacing ns0:after="0" ns0:line="240" ns0:lineRule="auto"/>
              <ns0:rPr>
                <ns0:b ns0:val="1"/>
                <ns0:bCs ns0:val="1"/>
              </ns0:rPr>
            </ns0:pPr>
            <ns0:r>
              <ns0:rPr>
                <ns0:b ns0:val="1"/>
                <ns0:bCs ns0:val="1"/>
                <ns0:rtl ns0:val="0"/>
              </ns0:rPr>
              <ns0:t xml:space="preserve">Yes/No</ns0:t>
            </ns0:r>
          </ns0:p>
        </ns0:tc>
        <ns0:tc>
          <ns0:tcPr>
            <ns0:shd ns0:fill="auto" ns0:val="clear"/>
          </ns0:tcPr>
          <ns0:p ns1:paraId="0000004A">
            <ns0:pPr>
              <ns0:spacing ns0:after="0" ns0:line="240" ns0:lineRule="auto"/>
              <ns0:rPr/>
            </ns0:pPr>
            <ns0:r>
              <ns0:rPr>
                <ns0:rtl ns0:val="0"/>
              </ns0:rPr>
              <ns0:t xml:space="preserve">Answer the question by selecting from the “Yes / No” drop-down box.</ns0:t>
            </ns0:r>
          </ns0:p>
        </ns0:tc>
        <ns0:tc>
          <ns0:tcPr>
            <ns0:shd ns0:fill="auto" ns0:val="clear"/>
          </ns0:tcPr>
          <ns0:p ns1:paraId="0000004B">
            <ns0:pPr>
              <ns0:spacing ns0:after="0" ns0:line="240" ns0:lineRule="auto"/>
              <ns0:rPr/>
            </ns0:pPr>
            <ns0:r>
              <ns0:rPr>
                <ns0:rtl ns0:val="0"/>
              </ns0:rPr>
              <ns0:t xml:space="preserve">By answering the questions, the engagement team documents their consideration of whether fraud risk factors are present. Responses may indicate the need to raise a fraud risk.</ns0:t>
            </ns0:r>
          </ns0:p>
        </ns0:tc>
      </ns0:tr>
      <ns0:tr>
        <ns0:trPr>
          <ns0:cantSplit ns0:val="0"/>
          <ns0:tblHeader ns0:val="0"/>
        </ns0:trPr>
        <ns0:tc>
          <ns0:tcPr>
            <ns0:shd ns0:fill="auto" ns0:val="clear"/>
          </ns0:tcPr>
          <ns0:p ns1:paraId="0000004C">
            <ns0:pPr>
              <ns0:spacing ns0:after="0" ns0:line="240" ns0:lineRule="auto"/>
              <ns0:rPr>
                <ns0:b ns0:val="1"/>
                <ns0:bCs ns0:val="1"/>
              </ns0:rPr>
            </ns0:pPr>
            <ns0:r>
              <ns0:rPr>
                <ns0:b ns0:val="1"/>
                <ns0:bCs ns0:val="1"/>
                <ns0:rtl ns0:val="0"/>
              </ns0:rPr>
              <ns0:t xml:space="preserve">Description</ns0:t>
            </ns0:r>
          </ns0:p>
        </ns0:tc>
        <ns0:tc>
          <ns0:tcPr>
            <ns0:shd ns0:fill="auto" ns0:val="clear"/>
          </ns0:tcPr>
          <ns0:p ns1:paraId="0000004D">
            <ns0:pPr>
              <ns0:spacing ns0:after="0" ns0:line="240" ns0:lineRule="auto"/>
              <ns0:rPr/>
            </ns0:pPr>
            <ns0:r>
              <ns0:rPr>
                <ns0:rtl ns0:val="0"/>
              </ns0:rPr>
              <ns0:t xml:space="preserve">Include a short description, if necessary, to substantiate or expand on the “Yes / No” answer selected.</ns0:t>
            </ns0:r>
          </ns0:p>
        </ns0:tc>
        <ns0:tc>
          <ns0:tcPr>
            <ns0:shd ns0:fill="auto" ns0:val="clear"/>
          </ns0:tcPr>
          <ns0:p ns1:paraId="0000004E">
            <ns0:pPr>
              <ns0:spacing ns0:after="0" ns0:line="240" ns0:lineRule="auto"/>
              <ns0:rPr/>
            </ns0:pPr>
            <ns0:r>
              <ns0:rPr>
                <ns0:rtl ns0:val="0"/>
              </ns0:rPr>
              <ns0:t xml:space="preserve">No impact on the engagement file.</ns0:t>
            </ns0:r>
          </ns0:p>
        </ns0:tc>
      </ns0:tr>
      <ns0:tr>
        <ns0:trPr>
          <ns0:cantSplit ns0:val="0"/>
          <ns0:tblHeader ns0:val="0"/>
        </ns0:trPr>
        <ns0:tc>
          <ns0:tcPr>
            <ns0:shd ns0:fill="auto" ns0:val="clear"/>
          </ns0:tcPr>
          <ns0:p ns1:paraId="0000004F">
            <ns0:pPr>
              <ns0:spacing ns0:after="0" ns0:line="240" ns0:lineRule="auto"/>
              <ns0:rPr>
                <ns0:b ns0:val="1"/>
                <ns0:bCs ns0:val="1"/>
              </ns0:rPr>
            </ns0:pPr>
            <ns0:r>
              <ns0:rPr>
                <ns0:b ns0:val="1"/>
                <ns0:bCs ns0:val="1"/>
                <ns0:rtl ns0:val="0"/>
              </ns0:rPr>
              <ns0:t xml:space="preserve">Risk</ns0:t>
            </ns0:r>
          </ns0:p>
        </ns0:tc>
        <ns0:tc>
          <ns0:tcPr>
            <ns0:shd ns0:fill="auto" ns0:val="clear"/>
          </ns0:tcPr>
          <ns0:p ns1:paraId="00000050">
            <ns0:pPr>
              <ns0:spacing ns0:after="0" ns0:line="240" ns0:lineRule="auto"/>
              <ns0:rPr/>
            </ns0:pPr>
            <ns0:r>
              <ns0:rPr>
                <ns0:rtl ns0:val="0"/>
              </ns0:rPr>
              <ns0:t xml:space="preserve">Raise a risk or event, if necessary, relating to the question or the responses reflected.</ns0:t>
            </ns0:r>
          </ns0:p>
        </ns0:tc>
        <ns0:tc>
          <ns0:tcPr>
            <ns0:shd ns0:fill="auto" ns0:val="clear"/>
          </ns0:tcPr>
          <ns0:p ns1:paraId="00000051">
            <ns0:pPr>
              <ns0:spacing ns0:after="0" ns0:line="240" ns0:lineRule="auto"/>
              <ns0:rPr/>
            </ns0:pPr>
            <ns0:r>
              <ns0:rPr>
                <ns0:rtl ns0:val="0"/>
              </ns0:rPr>
              <ns0:t xml:space="preserve">A risk or event will be recorded in the relevant document. The engagement file will then prompt the engagement team for appropriate responses to the risk or event recorded. If the risk raised is a fraud risk at financial statement level, the Identified risks table in this document will be activated.</ns0:t>
            </ns0:r>
          </ns0:p>
        </ns0:tc>
      </ns0:tr>
      <ns0:tr>
        <ns0:trPr>
          <ns0:cantSplit ns0:val="0"/>
          <ns0:trHeight ns0:val="410" ns0:hRule="atLeast"/>
          <ns0:tblHeader ns0:val="0"/>
        </ns0:trPr>
        <ns0:tc>
          <ns0:tcPr>
            <ns0:gridSpan ns0:val="3"/>
            <ns0:shd ns0:fill="auto" ns0:val="clear"/>
            <ns0:tcMar>
              <ns0:top ns0:w="100.0" ns0:type="dxa"/>
              <ns0:left ns0:w="100.0" ns0:type="dxa"/>
              <ns0:bottom ns0:w="100.0" ns0:type="dxa"/>
              <ns0:right ns0:w="100.0" ns0:type="dxa"/>
            </ns0:tcMar>
            <ns0:vAlign ns0:val="center"/>
          </ns0:tcPr>
          <ns0:p ns1:paraId="00000052">
            <ns0:pPr>
              <ns0:spacing ns0:after="0" ns0:line="240" ns0:lineRule="auto"/>
              <ns0:jc ns0:val="center"/>
              <ns0:rPr>
                <ns0:b ns0:val="1"/>
                <ns0:bCs ns0:val="1"/>
              </ns0:rPr>
            </ns0:pPr>
            <ns0:r>
              <ns0:rPr>
                <ns0:b ns0:val="1"/>
                <ns0:bCs ns0:val="1"/>
                <ns0:rtl ns0:val="0"/>
              </ns0:rPr>
              <ns0:t xml:space="preserve">Conclusion</ns0:t>
            </ns0:r>
          </ns0:p>
        </ns0:tc>
      </ns0:tr>
      <ns0:tr>
        <ns0:trPr>
          <ns0:cantSplit ns0:val="0"/>
          <ns0:tblHeader ns0:val="0"/>
        </ns0:trPr>
        <ns0:tc>
          <ns0:tcPr>
            <ns0:shd ns0:fill="auto" ns0:val="clear"/>
          </ns0:tcPr>
          <ns0:p ns1:paraId="00000053">
            <ns0:pPr>
              <ns0:spacing ns0:after="0" ns0:line="240" ns0:lineRule="auto"/>
              <ns0:rPr>
                <ns0:b ns0:val="1"/>
                <ns0:bCs ns0:val="1"/>
              </ns0:rPr>
            </ns0:pPr>
            <ns0:r>
              <ns0:rPr>
                <ns0:b ns0:val="1"/>
                <ns0:bCs ns0:val="1"/>
                <ns0:rtl ns0:val="0"/>
              </ns0:rPr>
              <ns0:t xml:space="preserve">Conclusion questions</ns0:t>
            </ns0:r>
          </ns0:p>
        </ns0:tc>
        <ns0:tc>
          <ns0:tcPr>
            <ns0:shd ns0:fill="auto" ns0:val="clear"/>
          </ns0:tcPr>
          <ns0:p ns1:paraId="00000054">
            <ns0:pPr>
              <ns0:spacing ns0:after="0" ns0:line="240" ns0:lineRule="auto"/>
              <ns0:rPr/>
            </ns0:pPr>
            <ns0:r>
              <ns0:rPr>
                <ns0:rtl ns0:val="0"/>
              </ns0:rPr>
              <ns0:t xml:space="preserve">Answer the conclusion questions to confirm whether the results of the fraud risk assessment procedures indicate risks that management would have been expected to identify but failed to do so, and whether any risks affect the assessment of risks at assertion level.</ns0:t>
            </ns0:r>
          </ns0:p>
        </ns0:tc>
        <ns0:tc>
          <ns0:tcPr>
            <ns0:shd ns0:fill="auto" ns0:val="clear"/>
          </ns0:tcPr>
          <ns0:p ns1:paraId="00000055">
            <ns0:pPr>
              <ns0:spacing ns0:after="0" ns0:line="240" ns0:lineRule="auto"/>
              <ns0:rPr/>
            </ns0:pPr>
            <ns0:r>
              <ns0:rPr>
                <ns0:rtl ns0:val="0"/>
              </ns0:rPr>
              <ns0:t xml:space="preserve">When risks affect the assessment of risks at assertion level, the engagement team should consider the impact on 11.60 – Risk assessment at assertion level.</ns0:t>
            </ns0:r>
          </ns0:p>
        </ns0:tc>
      </ns0:tr>
      <ns0:tr>
        <ns0:trPr>
          <ns0:cantSplit ns0:val="0"/>
          <ns0:tblHeader ns0:val="0"/>
        </ns0:trPr>
        <ns0:tc>
          <ns0:tcPr>
            <ns0:shd ns0:fill="auto" ns0:val="clear"/>
          </ns0:tcPr>
          <ns0:p ns1:paraId="00000056">
            <ns0:pPr>
              <ns0:spacing ns0:after="0" ns0:line="240" ns0:lineRule="auto"/>
              <ns0:rPr>
                <ns0:b ns0:val="1"/>
                <ns0:bCs ns0:val="1"/>
              </ns0:rPr>
            </ns0:pPr>
            <ns0:r>
              <ns0:rPr>
                <ns0:b ns0:val="1"/>
                <ns0:bCs ns0:val="1"/>
                <ns0:rtl ns0:val="0"/>
              </ns0:rPr>
              <ns0:t xml:space="preserve">Risk of material misstatement</ns0:t>
            </ns0:r>
          </ns0:p>
        </ns0:tc>
        <ns0:tc>
          <ns0:tcPr>
            <ns0:shd ns0:fill="auto" ns0:val="clear"/>
          </ns0:tcPr>
          <ns0:p ns1:paraId="00000057">
            <ns0:pPr>
              <ns0:spacing ns0:after="0" ns0:line="240" ns0:lineRule="auto"/>
              <ns0:rPr/>
            </ns0:pPr>
            <ns0:r>
              <ns0:rPr>
                <ns0:rtl ns0:val="0"/>
              </ns0:rPr>
              <ns0:t xml:space="preserve">Conclude on the fraud risk at financial statement level assessment.</ns0:t>
            </ns0:r>
          </ns0:p>
        </ns0:tc>
        <ns0:tc>
          <ns0:tcPr>
            <ns0:shd ns0:fill="auto" ns0:val="clear"/>
          </ns0:tcPr>
          <ns0:p ns1:paraId="00000058">
            <ns0:pPr>
              <ns0:spacing ns0:after="0" ns0:line="240" ns0:lineRule="auto"/>
              <ns0:rPr/>
            </ns0:pPr>
            <ns0:r>
              <ns0:rPr>
                <ns0:rtl ns0:val="0"/>
              </ns0:rPr>
              <ns0:t xml:space="preserve">The fraud risk at financial statement level assessment is documented for the engagement.</ns0:t>
            </ns0:r>
          </ns0:p>
        </ns0:tc>
      </ns0:tr>
    </ns0:tbl>
    <ns0:p ns0:rsidR="00000000" ns0:rsidDel="00000000" ns0:rsidP="00000000" ns0:rsidRDefault="00000000" ns0:rsidRPr="00000000" ns1:paraId="10000012">
      <ns0:pPr>
        <ns0:rPr/>
      </ns0:pPr>
      <ns0:r>
        <ns0:pict>
          <ns2:rect style="width:0.0pt;height:1.5pt" ns3:hr="t" ns3:hrstd="t" ns3:hralign="center" fillcolor="#A0A0A0" stroked="f"/>
        </ns0:pict>
      </ns0:r>
    </ns0:p>
    <ns0:p ns0:rsidR="00000000" ns0:rsidDel="00000000" ns0:rsidP="00000000" ns0:rsidRDefault="00000000" ns0:rsidRPr="00000000" ns1:paraId="0000005A">
      <ns0:pPr>
        <ns0:pStyle ns0:val="Heading1"/>
        <ns0:rPr/>
      </ns0:pPr>
      <ns0:bookmarkStart ns0:colFirst="0" ns0:colLast="0" ns0:name="_doc_outcomes" ns0:id="7"/>
      <ns0:bookmarkEnd ns0:id="7"/>
      <ns0:r>
        <ns0:rPr>
          <ns0:rtl ns0:val="0"/>
        </ns0:rPr>
        <ns0:t xml:space="preserve">Document outcomes</ns0:t>
      </ns0:r>
    </ns0:p>
    <ns0:p ns0:rsidR="00000000" ns0:rsidDel="00000000" ns0:rsidP="00000000" ns0:rsidRDefault="00000000" ns0:rsidRPr="00000000" ns1:paraId="0000005B">
      <ns0:pPr>
        <ns0:rPr/>
      </ns0:pPr>
      <ns0:r>
        <ns0:rPr>
          <ns0:rtl ns0:val="0"/>
        </ns0:rPr>
        <ns0:t xml:space="preserve">You must conclude on the fraud risk at financial statement level. The presumed risk of management override of controls (ISA 240.31 and ISA 240.32) is pre-populated as a significant risk and cannot be removed. Additional fraud risks should be raised where appropriate based on your evaluation of fraud risk factors. Where fraud risks are raised, overall responses must be documented.</ns0:t>
      </ns0:r>
    </ns0:p>
    <ns0:p ns0:rsidR="00000000" ns0:rsidDel="00000000" ns0:rsidP="00000000" ns0:rsidRDefault="00000000" ns0:rsidRPr="00000000" ns1:paraId="0000005C">
      <ns0:pPr>
        <ns0:pStyle ns0:val="Heading1"/>
        <ns0:rPr/>
      </ns0:pPr>
      <ns0:r>
        <ns0:pict>
          <ns2:rect style="width:0.0pt;height:1.5pt" ns3:hr="t" ns3:hrstd="t" ns3:hralign="center" fillcolor="#A0A0A0" stroked="f"/>
        </ns0:pict>
      </ns0:r>
      <ns0:r>
        <ns0:rPr>
          <ns0:rtl ns0:val="0"/>
        </ns0:rPr>
      </ns0:r>
    </ns0:p>
    <ns0:p ns0:rsidR="00000000" ns0:rsidDel="00000000" ns0:rsidP="00000000" ns0:rsidRDefault="00000000" ns0:rsidRPr="00000000" ns1:paraId="0000005D">
      <ns0:pPr>
        <ns0:widowControl ns0:val="0"/>
        <ns0:spacing ns0:after="0" ns0:before="0" ns0:line="276" ns0:lineRule="auto"/>
        <ns0:rPr>
          <ns0:sz ns0:val="22"/>
          <ns0:szCs ns0:val="22"/>
          <ns0:shd ns0:fill="auto" ns0:val="clear"/>
        </ns0:rPr>
      </ns0:pPr>
      <ns0:r>
        <ns0:rPr>
          <ns0:rtl ns0:val="0"/>
        </ns0:rPr>
      </ns0:r>
    </ns0:p>
    <ns0:p ns0:rsidR="00000000" ns0:rsidDel="00000000" ns0:rsidP="00000000" ns0:rsidRDefault="00000000" ns0:rsidRPr="00000000" ns1:paraId="0000005E">
      <ns0:pPr>
        <ns0:pStyle ns0:val="Subtitle"/>
        <ns0:rPr/>
      </ns0:pPr>
      <ns0:bookmarkStart ns0:colFirst="0" ns0:colLast="0" ns0:name="_group_audits" ns0:id="9"/>
      <ns0:bookmarkEnd ns0:id="9"/>
      <ns0:r>
        <ns0:rPr>
          <ns0:rtl ns0:val="0"/>
        </ns0:rPr>
        <ns0:t xml:space="preserve">Group Audits</ns0:t>
      </ns0:r>
    </ns0:p>
    <ns0:p ns0:rsidR="00000000" ns0:rsidDel="00000000" ns0:rsidP="00000000" ns0:rsidRDefault="00000000" ns0:rsidRPr="00000000" ns1:paraId="0000005F">
      <ns0:pPr>
        <ns0:rPr>
          <ns0:sz ns0:val="22"/>
          <ns0:szCs ns0:val="22"/>
        </ns0:rPr>
      </ns0:pPr>
      <ns0:r>
        <ns0:rPr>
          <ns0:sz ns0:val="22"/>
          <ns0:szCs ns0:val="22"/>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60">
      <ns0:pPr>
        <ns0:pBdr>
          <ns0:top ns0:color="auto" ns0:space="0" ns0:sz="0" ns0:val="none"/>
          <ns0:left ns0:color="auto" ns0:space="0" ns0:sz="0" ns0:val="none"/>
          <ns0:bottom ns0:color="auto" ns0:space="0" ns0:sz="0" ns0:val="none"/>
          <ns0:right ns0:color="auto" ns0:space="0" ns0:sz="0" ns0:val="none"/>
          <ns0:between ns0:color="auto" ns0:space="0" ns0:sz="0" ns0:val="none"/>
        </ns0:pBdr>
        <ns0:shd ns0:fill="ffffff" ns0:val="clear"/>
        <ns0:spacing ns0:after="0" ns0:lineRule="auto"/>
        <ns0:rPr>
          <ns0:sz ns0:val="22"/>
          <ns0:szCs ns0:val="22"/>
        </ns0:rPr>
      </ns0:pPr>
      <ns0:r>
        <ns0:rPr>
          <ns0:sz ns0:val="22"/>
          <ns0:szCs ns0:val="22"/>
          <ns0:rtl ns0:val="0"/>
        </ns0:rPr>
        <ns0:t xml:space="preserve">Additional questions were added for group audit engagement to:</ns0:t>
      </ns0:r>
    </ns0:p>
    <ns0:p ns0:rsidR="00000000" ns0:rsidDel="00000000" ns0:rsidP="00000000" ns0:rsidRDefault="00000000" ns0:rsidRPr="00000000" ns1:paraId="00000061">
      <ns0:pPr>
        <ns0:numPr>
          <ns0:ilvl ns0:val="0"/>
          <ns0:numId ns0:val="5"/>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Identify components for planning and performing of audit procedures;</ns0:t>
      </ns0:r>
    </ns0:p>
    <ns0:p ns0:rsidR="00000000" ns0:rsidDel="00000000" ns0:rsidP="00000000" ns0:rsidRDefault="00000000" ns0:rsidRPr="00000000" ns1:paraId="00000062">
      <ns0:pPr>
        <ns0:numPr>
          <ns0:ilvl ns0:val="0"/>
          <ns0:numId ns0:val="5"/>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63">
      <ns0:pPr>
        <ns0:numPr>
          <ns0:ilvl ns0:val="0"/>
          <ns0:numId ns0:val="5"/>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Evaluate access to components and component auditors; and</ns0:t>
      </ns0:r>
    </ns0:p>
    <ns0:p ns0:rsidR="00000000" ns0:rsidDel="00000000" ns0:rsidP="00000000" ns0:rsidRDefault="00000000" ns0:rsidRPr="00000000" ns1:paraId="00000064">
      <ns0:pPr>
        <ns0:numPr>
          <ns0:ilvl ns0:val="0"/>
          <ns0:numId ns0:val="5"/>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65">
      <ns0:pPr>
        <ns0:rPr>
          <ns0:sz ns0:val="22"/>
          <ns0:szCs ns0:val="22"/>
        </ns0:rPr>
      </ns0:pPr>
      <ns0:r>
        <ns0:rPr>
          <ns0:sz ns0:val="22"/>
          <ns0:szCs ns0:val="22"/>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66">
      <ns0:pPr>
        <ns0:pStyle ns0:val="Heading1"/>
        <ns0:rPr/>
      </ns0:pPr>
      <ns0:bookmarkStart ns0:colFirst="0" ns0:colLast="0" ns0:name="_in_conclusion" ns0:id="10"/>
      <ns0:bookmarkEnd ns0:id="10"/>
      <ns0:r>
        <ns0:rPr>
          <ns0:rtl ns0:val="0"/>
        </ns0:rPr>
        <ns0:t xml:space="preserve">IN CONCLUSION</ns0:t>
      </ns0:r>
    </ns0:p>
    <ns0:p ns0:rsidR="00000000" ns0:rsidDel="00000000" ns0:rsidP="00000000" ns0:rsidRDefault="00000000" ns0:rsidRPr="00000000" ns1:paraId="00000067">
      <ns0:pPr>
        <ns0:rPr>
          <ns0:sz ns0:val="22"/>
          <ns0:szCs ns0:val="22"/>
        </ns0:rPr>
      </ns0:pPr>
      <ns0:r>
        <ns0:rPr>
          <ns0:sz ns0:val="22"/>
          <ns0:szCs ns0:val="22"/>
          <ns0:rtl ns0:val="0"/>
        </ns0:rPr>
        <ns0:t xml:space="preserve">Features</ns0:t>
      </ns0:r>
    </ns0:p>
    <ns0:p ns0:rsidR="00000000" ns0:rsidDel="00000000" ns0:rsidP="00000000" ns0:rsidRDefault="00000000" ns0:rsidRPr="00000000" ns1:paraId="00000068">
      <ns0:pPr>
        <ns0:rPr>
          <ns0:sz ns0:val="22"/>
          <ns0:szCs ns0:val="22"/>
        </ns0:rPr>
      </ns0:pPr>
      <ns0:r>
        <ns0:rPr>
          <ns0:sz ns0:val="22"/>
          <ns0:szCs ns0:val="22"/>
          <ns0:rtl ns0:val="0"/>
        </ns0:rPr>
        <ns0:t xml:space="preserve">The following features are available in the document:</ns0:t>
      </ns0:r>
    </ns0:p>
    <ns0:p ns0:rsidR="00000000" ns0:rsidDel="00000000" ns0:rsidP="00000000" ns0:rsidRDefault="00000000" ns0:rsidRPr="00000000" ns1:paraId="00000069">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Insert or delete a comment, see page </ns0:t>
      </ns0:r>
      <ns0:r>
        <ns0:rPr>
          <ns0:sz ns0:val="22"/>
          <ns0:szCs ns0:val="22"/>
          <ns0:u ns0:val="single"/>
          <ns0:rtl ns0:val="0"/>
        </ns0:rPr>
        <ns0:t xml:space="preserve">F3</ns0:t>
      </ns0:r>
    </ns0:p>
    <ns0:p ns0:rsidR="00000000" ns0:rsidDel="00000000" ns0:rsidP="00000000" ns0:rsidRDefault="00000000" ns0:rsidRPr="00000000" ns1:paraId="0000006A">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Insert or delete a row at the end, see page </ns0:t>
      </ns0:r>
      <ns0:r>
        <ns0:rPr>
          <ns0:sz ns0:val="22"/>
          <ns0:szCs ns0:val="22"/>
          <ns0:u ns0:val="single"/>
          <ns0:rtl ns0:val="0"/>
        </ns0:rPr>
        <ns0:t xml:space="preserve">F5</ns0:t>
      </ns0:r>
    </ns0:p>
    <ns0:p ns0:rsidR="00000000" ns0:rsidDel="00000000" ns0:rsidP="00000000" ns0:rsidRDefault="00000000" ns0:rsidRPr="00000000" ns1:paraId="0000006B">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Record a risk or event, see page </ns0:t>
      </ns0:r>
      <ns0:r>
        <ns0:rPr>
          <ns0:sz ns0:val="22"/>
          <ns0:szCs ns0:val="22"/>
          <ns0:u ns0:val="single"/>
          <ns0:rtl ns0:val="0"/>
        </ns0:rPr>
        <ns0:t xml:space="preserve">F10</ns0:t>
      </ns0:r>
    </ns0:p>
    <ns0:p ns0:rsidR="00000000" ns0:rsidDel="00000000" ns0:rsidP="00000000" ns0:rsidRDefault="00000000" ns0:rsidRPr="00000000" ns1:paraId="0000006C">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Core vs Extended, see page </ns0:t>
      </ns0:r>
      <ns0:r>
        <ns0:rPr>
          <ns0:sz ns0:val="22"/>
          <ns0:szCs ns0:val="22"/>
          <ns0:u ns0:val="single"/>
          <ns0:rtl ns0:val="0"/>
        </ns0:rPr>
        <ns0:t xml:space="preserve">F15</ns0:t>
      </ns0:r>
    </ns0:p>
    <ns0:p ns0:rsidR="00000000" ns0:rsidDel="00000000" ns0:rsidP="00000000" ns0:rsidRDefault="00000000" ns0:rsidRPr="00000000" ns1:paraId="0000006D">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Guidance, see page </ns0:t>
      </ns0:r>
      <ns0:r>
        <ns0:rPr>
          <ns0:sz ns0:val="22"/>
          <ns0:szCs ns0:val="22"/>
          <ns0:u ns0:val="single"/>
          <ns0:rtl ns0:val="0"/>
        </ns0:rPr>
        <ns0:t xml:space="preserve">F16</ns0:t>
      </ns0:r>
    </ns0:p>
    <ns0:p ns0:rsidR="00000000" ns0:rsidDel="00000000" ns0:rsidP="00000000" ns0:rsidRDefault="00000000" ns0:rsidRPr="00000000" ns1:paraId="0000006E">
      <ns0:pPr>
        <ns0:numPr>
          <ns0:ilvl ns0:val="0"/>
          <ns0:numId ns0:val="4"/>
        </ns0:numPr>
        <ns0:pBdr>
          <ns0:top ns0:color="auto" ns0:space="0" ns0:sz="0" ns0:val="none"/>
          <ns0:bottom ns0:color="auto" ns0:space="0" ns0:sz="0" ns0:val="none"/>
          <ns0:right ns0:color="auto" ns0:space="0" ns0:sz="0" ns0:val="none"/>
          <ns0:between ns0:color="auto" ns0:space="0" ns0:sz="0" ns0:val="none"/>
        </ns0:pBdr>
        <ns0:spacing ns0:after="0" ns0:lineRule="auto" ns0:before="0"/>
        <ns0:ind ns0:left="720" ns0:hanging="360"/>
        <ns0:rPr>
          <ns0:rFonts ns0:ascii="Roboto" ns0:cs="Roboto" ns0:eastAsia="Roboto" ns0:hAnsi="Roboto"/>
          <ns0:sz ns0:val="24"/>
          <ns0:szCs ns0:val="24"/>
        </ns0:rPr>
      </ns0:pPr>
      <ns0:r>
        <ns0:rPr>
          <ns0:sz ns0:val="22"/>
          <ns0:szCs ns0:val="22"/>
          <ns0:rtl ns0:val="0"/>
        </ns0:rPr>
        <ns0:t xml:space="preserve">Freeze, see page </ns0:t>
      </ns0:r>
      <ns0:r>
        <ns0:rPr>
          <ns0:sz ns0:val="22"/>
          <ns0:szCs ns0:val="22"/>
          <ns0:u ns0:val="single"/>
          <ns0:rtl ns0:val="0"/>
        </ns0:rPr>
        <ns0:t xml:space="preserve">F19</ns0:t>
      </ns0:r>
    </ns0:p>
    <ns0:p ns0:rsidR="00000000" ns0:rsidDel="00000000" ns0:rsidP="00000000" ns0:rsidRDefault="00000000" ns0:rsidRPr="00000000" ns1:paraId="0000006F">
      <ns0:pPr>
        <ns0:rPr/>
      </ns0:pPr>
      <ns0:r>
        <ns0:rPr>
          <ns0:rtl ns0:val="0"/>
        </ns0:rPr>
      </ns0:r>
    </ns0:p>
    <ns0:p ns0:rsidR="00000000" ns0:rsidDel="00000000" ns0:rsidP="00000000" ns0:rsidRDefault="00000000" ns0:rsidRPr="00000000" ns1:paraId="00000070">
      <ns0:pPr>
        <ns0:rPr/>
      </ns0:pPr>
      <ns0:r>
        <ns0:rPr>
          <ns0:rtl ns0:val="0"/>
        </ns0:rPr>
      </ns0:r>
    </ns0:p>
    <ns0:sectPr>
      <ns0:pgSz ns0:h="16838" ns0:w="11906" ns0:orient="portrait"/>
      <ns0:pgMar ns0:bottom="720" ns0:top="720" ns0:left="1080" ns0:right="720" ns0:header="720" ns0:footer="720" ns0:gut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