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02.20 GOING CONCERN CONCLUSION</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pPr>
      <ns0:bookmarkStart ns0:colFirst="0" ns0:colLast="0" ns0:name="_objective0220" ns0:id="1"/>
      <ns0:bookmarkEnd ns0:id="1"/>
      <ns0:r>
        <ns0:rPr>
          <ns0:rtl ns0:val="0"/>
        </ns0:rPr>
        <ns0:t xml:space="preserve">Objective</ns0:t>
      </ns0:r>
    </ns0:p>
    <ns0:p ns0:rsidR="00000000" ns0:rsidDel="00000000" ns0:rsidP="00000000" ns0:rsidRDefault="00000000" ns0:rsidRPr="00000000" ns1:paraId="0000000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objective of this document is to document the engagement team's conclusion on the appropriateness of management's use of the going concern basis of accounting, and to record the audit opinion in relation to going concern.</ns0:t>
      </ns0:r>
    </ns0:p>
    <ns0:p ns0:rsidR="00000000" ns0:rsidDel="00000000" ns0:rsidP="00000000" ns0:rsidRDefault="00000000" ns0:rsidRPr="00000000" ns1:paraId="00000006">
      <ns0:pPr>
        <ns0:rPr/>
      </ns0:pPr>
    </ns0:p>
    <ns0:p ns0:rsidR="00000000" ns0:rsidDel="00000000" ns0:rsidP="00000000" ns0:rsidRDefault="00000000" ns0:rsidRPr="00000000" ns1:paraId="1000025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58">
      <ns0:pPr>
        <ns0:numPr>
          <ns0:ilvl ns0:val="0"/>
          <ns0:numId ns0:val="1"/>
        </ns0:numPr>
        <ns0:ind ns0:left="360"/>
        <ns0:spacing ns0:before="0" ns0:after="0"/>
      </ns0:pPr>
      <ns0:r>
        <ns0:rPr>
          <ns0:b ns0:val="1"/>
          <ns0:bCs ns0:val="1"/>
          <ns0:rtl ns0:val="0"/>
        </ns0:rPr>
        <ns0:t xml:space="preserve">Evaluation of management’s going concern assessment (ISA 570)</ns0:t>
      </ns0:r>
    </ns0:p>
    <ns0:p ns0:rsidR="00000000" ns0:rsidDel="00000000" ns0:rsidP="00000000" ns0:rsidRDefault="00000000" ns0:rsidRPr="00000000" ns1:paraId="10000259">
      <ns0:pPr>
        <ns0:numPr>
          <ns0:ilvl ns0:val="0"/>
          <ns0:numId ns0:val="1"/>
        </ns0:numPr>
        <ns0:ind ns0:left="360"/>
        <ns0:spacing ns0:before="0" ns0:after="0"/>
      </ns0:pPr>
      <ns0:r>
        <ns0:rPr>
          <ns0:b ns0:val="1"/>
          <ns0:bCs ns0:val="1"/>
          <ns0:rtl ns0:val="0"/>
        </ns0:rPr>
        <ns0:t xml:space="preserve">Determination of whether material uncertainty exists regarding the entity’s ability to continue as a going concern</ns0:t>
      </ns0:r>
    </ns0:p>
    <ns0:p ns0:rsidR="00000000" ns0:rsidDel="00000000" ns0:rsidP="00000000" ns0:rsidRDefault="00000000" ns0:rsidRPr="00000000" ns1:paraId="1000025A">
      <ns0:pPr>
        <ns0:numPr>
          <ns0:ilvl ns0:val="0"/>
          <ns0:numId ns0:val="1"/>
        </ns0:numPr>
        <ns0:ind ns0:left="360"/>
        <ns0:spacing ns0:before="0" ns0:after="0"/>
      </ns0:pPr>
      <ns0:r>
        <ns0:rPr>
          <ns0:b ns0:val="1"/>
          <ns0:bCs ns0:val="1"/>
          <ns0:rtl ns0:val="0"/>
        </ns0:rPr>
        <ns0:t xml:space="preserve">Impact of going concern conclusions on the form of the audit opinion</ns0:t>
      </ns0:r>
    </ns0:p>
    <ns0:p ns0:rsidR="00000000" ns0:rsidDel="00000000" ns0:rsidP="00000000" ns0:rsidRDefault="00000000" ns0:rsidRPr="00000000" ns1:paraId="1000025B">
      <ns0:pPr>
        <ns0:rPr/>
      </ns0:pPr>
    </ns0:p>
    <ns0:p ns0:rsidR="00000000" ns0:rsidDel="00000000" ns0:rsidP="00000000" ns0:rsidRDefault="00000000" ns0:rsidRPr="00000000" ns1:paraId="00000009">
      <ns0:pPr>
        <ns0:spacing ns0:after="0"/>
        <ns0:rPr/>
      </ns0:pPr>
      <ns0:bookmarkStart ns0:colFirst="0" ns0:colLast="0" ns0:name="_docplacement0220" ns0:id="2"/>
      <ns0:bookmarkEnd ns0:id="2"/>
      <ns0:r>
        <ns0:rPr>
          <ns0:rFonts ns0:ascii="Pastiche Grotesque" ns0:hAnsi="Pastiche Grotesque" ns0:cs="Pastiche Grotesque" ns0:eastAsia="Pastiche Grotesque"/>
          <ns0:b ns0:val="1"/>
          <ns0:color ns0:val="51626f"/>
          <ns0:sz ns0:val="26"/>
          <ns0:szCs ns0:val="26"/>
          <ns0:u ns0:val="none"/>
          <ns0:rtl ns0:val="0"/>
        </ns0:rPr>
        <ns0:t xml:space="preserve">Document placement</ns0:t>
      </ns0:r>
    </ns0:p>
    <ns0:p ns0:rsidR="00000000" ns0:rsidDel="00000000" ns0:rsidP="00000000" ns0:rsidRDefault="00000000" ns0:rsidRPr="00000000" ns1:paraId="0000000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Document 02.20 – Going concern conclusion can be found in the Finalisation folder in the Caseware document manager.</ns0:t>
      </ns0:r>
    </ns0:p>
    <ns0:p ns0:rsidR="00AB0001" ns0:rsidRDefault="00AB0001">
      <ns0:pPr>
        <ns0:jc ns0:val="center"/>
        <ns0:rPr/>
      </ns0:pPr>
      <ns0:r>
        <ns0:rPr/>
        <ns0:drawing>
          <ns2:inline distT="0" distB="0" distL="0" distR="0">
            <ns2:extent cx="4572000" cy="3463636"/>
            <ns2:effectExtent l="0" t="0" r="0" b="0"/>
            <ns2:docPr id="901" name="Bookmark 02.20" descr="Bookmark placement for 02.20"/>
            <ns2:cNvGraphicFramePr>
              <ns3:graphicFrameLocks noChangeAspect="1"/>
            </ns2:cNvGraphicFramePr>
            <ns3:graphic>
              <ns3:graphicData uri="http://schemas.openxmlformats.org/drawingml/2006/picture">
                <ns4:pic>
                  <ns4:nvPicPr>
                    <ns4:cNvPr id="901" name="Bookmark 02.20" descr="Bookmark placement for 02.20"/>
                    <ns4:cNvPicPr/>
                  </ns4:nvPicPr>
                  <ns4:blipFill>
                    <ns3:blip ns5:embed="rId9"/>
                    <ns3:stretch>
                      <ns3:fillRect/>
                    </ns3:stretch>
                  </ns4:blipFill>
                  <ns4:spPr>
                    <ns3:xfrm>
                      <ns3:off x="0" y="0"/>
                      <ns3:ext cx="4572000" cy="3463636"/>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pPr>
      <ns0:bookmarkStart ns0:colFirst="0" ns0:colLast="0" ns0:name="_doccontent0220" ns0:id="3"/>
      <ns0:bookmarkEnd ns0:id="3"/>
      <ns0:r>
        <ns0:rPr>
          <ns0:rtl ns0:val="0"/>
        </ns0:rPr>
        <ns0:t xml:space="preserve">Document content</ns0:t>
      </ns0:r>
    </ns0:p>
    <ns0:p ns0:rsidR="00000000" ns0:rsidDel="00000000" ns0:rsidP="00000000" ns0:rsidRDefault="00000000" ns0:rsidRPr="00000000" ns1:paraId="0000000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designed to be a CaseView conclusion document. It presents pre-populated considerations for evaluating management's going concern assessment, a pre-populated conclusion and audit opinion, and a partner sign-off declaration.</ns0:t>
      </ns0:r>
    </ns0:p>
    <ns0:p ns0:rsidR="00000000" ns0:rsidDel="00000000" ns0:rsidP="00000000" ns0:rsidRDefault="00000000" ns0:rsidRPr="00000000" ns1:paraId="0000000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addresses ISA 570 (Going Concern) by documenting the engagement team's evaluation of whether events or conditions exist that may cast significant doubt on the entity's ability to continue as a going concern, and recording the resulting conclusion and audit opinion.</ns0:t>
      </ns0:r>
    </ns0:p>
    <ns0:p ns0:rsidR="00000000" ns0:rsidDel="00000000" ns0:rsidP="00000000" ns0:rsidRDefault="00000000" ns0:rsidRPr="00000000" ns1:paraId="0000000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divided into different bookmarks in the document map to assist you with navigation:</ns0:t>
      </ns0:r>
    </ns0:p>
    <ns0:p ns0:rsidR="00000000" ns0:rsidDel="00000000" ns0:rsidP="00000000" ns0:rsidRDefault="00000000" ns0:rsidRPr="00000000" ns1:paraId="0000001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Considerations</ns0:t>
      </ns0:r>
    </ns0:p>
    <ns0:p ns0:rsidR="00000000" ns0:rsidDel="00000000" ns0:rsidP="00000000" ns0:rsidRDefault="00000000" ns0:rsidRPr="00000000" ns1:paraId="00000011">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Conclusion</ns0:t>
      </ns0:r>
    </ns0:p>
    <ns0:p ns0:rsidR="00000000" ns0:rsidDel="00000000" ns0:rsidP="00000000" ns0:rsidRDefault="00000000" ns0:rsidRPr="00000000" ns1:paraId="00000012">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Partner sign-off</ns0:t>
      </ns0:r>
    </ns0:p>
    <ns0:p ns0:rsidR="00AB0002" ns0:rsidRDefault="00AB0002">
      <ns0:pPr>
        <ns0:jc ns0:val="center"/>
        <ns0:rPr/>
      </ns0:pPr>
      <ns0:r>
        <ns0:rPr/>
        <ns0:drawing>
          <ns2:inline distT="0" distB="0" distL="0" distR="0">
            <ns2:extent cx="4572000" cy="3102094"/>
            <ns2:effectExtent l="0" t="0" r="0" b="0"/>
            <ns2:docPr id="902" name="CaseView 02.20" descr="CaseView document map for 02.20"/>
            <ns2:cNvGraphicFramePr>
              <ns3:graphicFrameLocks noChangeAspect="1"/>
            </ns2:cNvGraphicFramePr>
            <ns3:graphic>
              <ns3:graphicData uri="http://schemas.openxmlformats.org/drawingml/2006/picture">
                <ns4:pic>
                  <ns4:nvPicPr>
                    <ns4:cNvPr id="902" name="CaseView 02.20" descr="CaseView document map for 02.20"/>
                    <ns4:cNvPicPr/>
                  </ns4:nvPicPr>
                  <ns4:blipFill>
                    <ns3:blip ns5:embed="rId10"/>
                    <ns3:stretch>
                      <ns3:fillRect/>
                    </ns3:stretch>
                  </ns4:blipFill>
                  <ns4:spPr>
                    <ns3:xfrm>
                      <ns3:off x="0" y="0"/>
                      <ns3:ext cx="4572000" cy="3102094"/>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14">
      <ns0:pPr>
        <ns0:pStyle ns0:val="Heading1"/>
      </ns0:pPr>
      <ns0:bookmarkStart ns0:colFirst="0" ns0:colLast="0" ns0:name="_layout0220" ns0:id="4"/>
      <ns0:bookmarkEnd ns0:id="4"/>
      <ns0:r>
        <ns0:rPr>
          <ns0:rtl ns0:val="0"/>
        </ns0:rPr>
        <ns0:t xml:space="preserve">Layout</ns0:t>
      </ns0:r>
    </ns0:p>
    <ns0:tbl>
      <ns0:tblPr>
        <ns0:tblStyle ns0:val="TableGrid"/>
        <ns0:tblW ns0:w="1011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Pr>
      <ns0:tblGrid>
        <ns0:gridCol ns0:w="2580"/>
        <ns0:gridCol ns0:w="3645"/>
        <ns0:gridCol ns0:w="3885"/>
      </ns0:tblGrid>
      <ns0:tr ns1:paraId="00000015">
        <ns0:tc>
          <ns0:tcPr>
            <ns0:tcW ns0:w="2580" ns0:type="dxa"/>
          </ns0:tcPr>
          <ns0:p ns1:paraId="00000016">
            <ns0:pPr>
              <ns0:rPr>
                <ns0:b ns0:val="1"/>
                <ns0:color ns0:val="FFFFFF"/>
              </ns0:rPr>
            </ns0:pPr>
            <ns0:r>
              <ns0:rPr>
                <ns0:b ns0:val="1"/>
              </ns0:rPr>
              <ns0:t>Column</ns0:t>
            </ns0:r>
          </ns0:p>
        </ns0:tc>
        <ns0:tc>
          <ns0:tcPr>
            <ns0:tcW ns0:w="3645" ns0:type="dxa"/>
          </ns0:tcPr>
          <ns0:p ns1:paraId="00000017">
            <ns0:pPr>
              <ns0:rPr>
                <ns0:b ns0:val="1"/>
                <ns0:color ns0:val="FFFFFF"/>
              </ns0:rPr>
            </ns0:pPr>
            <ns0:r>
              <ns0:rPr>
                <ns0:b ns0:val="1"/>
              </ns0:rPr>
              <ns0:t>Input Required</ns0:t>
            </ns0:r>
          </ns0:p>
        </ns0:tc>
        <ns0:tc>
          <ns0:tcPr>
            <ns0:tcW ns0:w="3885" ns0:type="dxa"/>
          </ns0:tcPr>
          <ns0:p ns1:paraId="00000018">
            <ns0:pPr>
              <ns0:rPr>
                <ns0:b ns0:val="1"/>
                <ns0:color ns0:val="FFFFFF"/>
              </ns0:rPr>
            </ns0:pPr>
            <ns0:r>
              <ns0:rPr>
                <ns0:b ns0:val="1"/>
              </ns0:rPr>
              <ns0:t>Outcome</ns0:t>
            </ns0:r>
          </ns0:p>
        </ns0:tc>
      </ns0:tr>
      <ns0:tr ns1:paraId="00000019">
        <ns0:tc>
          <ns0:tcPr>
            <ns0:tcW ns0:w="10110" ns0:type="dxa"/>
            <ns0:gridSpan ns0:val="3"/>
          </ns0:tcPr>
          <ns0:p ns1:paraId="0000001A">
            <ns0:pPr>
              <ns0:jc ns0:val="center"/>
              <ns0:rPr>
                <ns0:b ns0:val="1"/>
                <ns0:color ns0:val="FFFFFF"/>
              </ns0:rPr>
            </ns0:pPr>
            <ns0:r>
              <ns0:rPr>
                <ns0:b ns0:val="1"/>
              </ns0:rPr>
              <ns0:t>Considerations</ns0:t>
            </ns0:r>
          </ns0:p>
        </ns0:tc>
      </ns0:tr>
      <ns0:tr ns1:paraId="0000001B">
        <ns0:tc>
          <ns0:tcPr>
            <ns0:tcW ns0:w="2580" ns0:type="dxa"/>
          </ns0:tcPr>
          <ns0:p ns1:paraId="0000001C">
            <ns0:pPr>
              <ns0:rPr>
                <ns0:b ns0:val="1"/>
              </ns0:rPr>
            </ns0:pPr>
            <ns0:r>
              <ns0:rPr>
                <ns0:b ns0:val="1"/>
              </ns0:rPr>
              <ns0:t>Considerations</ns0:t>
            </ns0:r>
          </ns0:p>
        </ns0:tc>
        <ns0:tc>
          <ns0:tcPr>
            <ns0:tcW ns0:w="3645" ns0:type="dxa"/>
          </ns0:tcPr>
          <ns0:p ns1:paraId="0000001D">
            <ns0:r>
              <ns0:t xml:space="preserve">No input is required in this column. Displays pre-populated considerations for evaluating management's going concern assessment. The considerations include: (a) fixed-term borrowings approaching maturity without realistic prospects of renewal or repayment, (b) indications of withdrawal of financial support by creditors, (c) inability to pay creditors on due dates or to comply with loan agreement terms, and (d) non-compliance with capital or other statutory requirements. Additional prompts address cash flow or liquidity concerns from the final analytical review and whether any event or condition may cast significant doubt on the entity's ability to continue as a going concern.</ns0:t>
            </ns0:r>
          </ns0:p>
        </ns0:tc>
        <ns0:tc>
          <ns0:tcPr>
            <ns0:tcW ns0:w="3885" ns0:type="dxa"/>
          </ns0:tcPr>
          <ns0:p ns1:paraId="0000001E">
            <ns0:r>
              <ns0:t xml:space="preserve">No impact on the engagement file. Provides the consideration framework for the engagement team's evaluation of going concern.</ns0:t>
            </ns0:r>
          </ns0:p>
        </ns0:tc>
      </ns0:tr>
      <ns0:tr ns1:paraId="0000001F">
        <ns0:tc>
          <ns0:tcPr>
            <ns0:tcW ns0:w="2580" ns0:type="dxa"/>
          </ns0:tcPr>
          <ns0:p ns1:paraId="00000020">
            <ns0:pPr>
              <ns0:rPr>
                <ns0:b ns0:val="1"/>
              </ns0:rPr>
            </ns0:pPr>
            <ns0:r>
              <ns0:rPr>
                <ns0:b ns0:val="1"/>
              </ns0:rPr>
              <ns0:t>Event</ns0:t>
            </ns0:r>
          </ns0:p>
        </ns0:tc>
        <ns0:tc>
          <ns0:tcPr>
            <ns0:tcW ns0:w="3645" ns0:type="dxa"/>
          </ns0:tcPr>
          <ns0:p ns1:paraId="00000021">
            <ns0:r>
              <ns0:t xml:space="preserve">Enter a description of any event or condition identified that may cast significant doubt on the entity's ability to continue as a going concern.</ns0:t>
            </ns0:r>
          </ns0:p>
        </ns0:tc>
        <ns0:tc>
          <ns0:tcPr>
            <ns0:tcW ns0:w="3885" ns0:type="dxa"/>
          </ns0:tcPr>
          <ns0:p ns1:paraId="00000022">
            <ns0:r>
              <ns0:t xml:space="preserve">No impact on the engagement file. Records the going concern event or condition identified for the engagement file.</ns0:t>
            </ns0:r>
          </ns0:p>
        </ns0:tc>
      </ns0:tr>
      <ns0:tr ns1:paraId="00000023">
        <ns0:tc>
          <ns0:tcPr>
            <ns0:tcW ns0:w="10110" ns0:type="dxa"/>
            <ns0:gridSpan ns0:val="3"/>
          </ns0:tcPr>
          <ns0:p ns1:paraId="00000024">
            <ns0:pPr>
              <ns0:jc ns0:val="center"/>
              <ns0:rPr>
                <ns0:b ns0:val="1"/>
                <ns0:color ns0:val="FFFFFF"/>
              </ns0:rPr>
            </ns0:pPr>
            <ns0:r>
              <ns0:rPr>
                <ns0:b ns0:val="1"/>
              </ns0:rPr>
              <ns0:t>Conclusion</ns0:t>
            </ns0:r>
          </ns0:p>
        </ns0:tc>
      </ns0:tr>
      <ns0:tr ns1:paraId="00000025">
        <ns0:tc>
          <ns0:tcPr>
            <ns0:tcW ns0:w="2580" ns0:type="dxa"/>
          </ns0:tcPr>
          <ns0:p ns1:paraId="00000026">
            <ns0:pPr>
              <ns0:rPr>
                <ns0:b ns0:val="1"/>
              </ns0:rPr>
            </ns0:pPr>
            <ns0:r>
              <ns0:rPr>
                <ns0:b ns0:val="1"/>
              </ns0:rPr>
              <ns0:t>Conclusion statement</ns0:t>
            </ns0:r>
          </ns0:p>
        </ns0:tc>
        <ns0:tc>
          <ns0:tcPr>
            <ns0:tcW ns0:w="3645" ns0:type="dxa"/>
          </ns0:tcPr>
          <ns0:p ns1:paraId="00000027">
            <ns0:r>
              <ns0:t xml:space="preserve">No input is required in this column. Displays the pre-populated conclusion: "No doubt exists relating to the appropriateness of the going concern concept."</ns0:t>
            </ns0:r>
          </ns0:p>
        </ns0:tc>
        <ns0:tc>
          <ns0:tcPr>
            <ns0:tcW ns0:w="3885" ns0:type="dxa"/>
          </ns0:tcPr>
          <ns0:p ns1:paraId="00000028">
            <ns0:r>
              <ns0:t xml:space="preserve">No impact on the engagement file. Provides the default going concern conclusion for the engagement team's review.</ns0:t>
            </ns0:r>
          </ns0:p>
        </ns0:tc>
      </ns0:tr>
      <ns0:tr ns1:paraId="00000029">
        <ns0:tc>
          <ns0:tcPr>
            <ns0:tcW ns0:w="2580" ns0:type="dxa"/>
          </ns0:tcPr>
          <ns0:p ns1:paraId="0000002A">
            <ns0:pPr>
              <ns0:rPr>
                <ns0:b ns0:val="1"/>
              </ns0:rPr>
            </ns0:pPr>
            <ns0:r>
              <ns0:rPr>
                <ns0:b ns0:val="1"/>
              </ns0:rPr>
              <ns0:t>Audit opinion</ns0:t>
            </ns0:r>
          </ns0:p>
        </ns0:tc>
        <ns0:tc>
          <ns0:tcPr>
            <ns0:tcW ns0:w="3645" ns0:type="dxa"/>
          </ns0:tcPr>
          <ns0:p ns1:paraId="0000002B">
            <ns0:r>
              <ns0:t xml:space="preserve">No input is required in this column. Displays the pre-populated audit opinion: "We do not need to modify our opinion with respect to the applicability of the going concern concept."</ns0:t>
            </ns0:r>
          </ns0:p>
        </ns0:tc>
        <ns0:tc>
          <ns0:tcPr>
            <ns0:tcW ns0:w="3885" ns0:type="dxa"/>
          </ns0:tcPr>
          <ns0:p ns1:paraId="0000002C">
            <ns0:r>
              <ns0:t xml:space="preserve">No impact on the engagement file. Provides the default audit opinion on going concern for the engagement team's review.</ns0:t>
            </ns0:r>
          </ns0:p>
        </ns0:tc>
      </ns0:tr>
      <ns0:tr ns1:paraId="0000002D">
        <ns0:tc>
          <ns0:tcPr>
            <ns0:tcW ns0:w="10110" ns0:type="dxa"/>
            <ns0:gridSpan ns0:val="3"/>
          </ns0:tcPr>
          <ns0:p ns1:paraId="0000002E">
            <ns0:pPr>
              <ns0:jc ns0:val="center"/>
              <ns0:rPr>
                <ns0:b ns0:val="1"/>
                <ns0:color ns0:val="FFFFFF"/>
              </ns0:rPr>
            </ns0:pPr>
            <ns0:r>
              <ns0:rPr>
                <ns0:b ns0:val="1"/>
              </ns0:rPr>
              <ns0:t>Partner sign-off</ns0:t>
            </ns0:r>
          </ns0:p>
        </ns0:tc>
      </ns0:tr>
      <ns0:tr ns1:paraId="0000002F">
        <ns0:tc>
          <ns0:tcPr>
            <ns0:tcW ns0:w="2580" ns0:type="dxa"/>
          </ns0:tcPr>
          <ns0:p ns1:paraId="00000030">
            <ns0:pPr>
              <ns0:rPr>
                <ns0:b ns0:val="1"/>
              </ns0:rPr>
            </ns0:pPr>
            <ns0:r>
              <ns0:rPr>
                <ns0:b ns0:val="1"/>
              </ns0:rPr>
              <ns0:t>Partner declaration</ns0:t>
            </ns0:r>
          </ns0:p>
        </ns0:tc>
        <ns0:tc>
          <ns0:tcPr>
            <ns0:tcW ns0:w="3645" ns0:type="dxa"/>
          </ns0:tcPr>
          <ns0:p ns1:paraId="00000031">
            <ns0:r>
              <ns0:t xml:space="preserve">No input is required in this column. Displays the pre-populated partner declaration confirming that the going concern procedures and evidence documented in planning and finalisation have been reviewed, and that sufficient and appropriate audit evidence has been obtained to support the conclusion and the report of the independent auditor in relation to the going concern basis of accounting.</ns0:t>
            </ns0:r>
          </ns0:p>
        </ns0:tc>
        <ns0:tc>
          <ns0:tcPr>
            <ns0:tcW ns0:w="3885" ns0:type="dxa"/>
          </ns0:tcPr>
          <ns0:p ns1:paraId="00000032">
            <ns0:r>
              <ns0:t xml:space="preserve">No impact on the engagement file. Provides the partner's declaration framework for the going concern conclusion.</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34">
      <ns0:pPr>
        <ns0:pStyle ns0:val="Heading1"/>
      </ns0:pPr>
      <ns0:bookmarkStart ns0:colFirst="0" ns0:colLast="0" ns0:name="_docoutcomes0220" ns0:id="5"/>
      <ns0:bookmarkEnd ns0:id="5"/>
      <ns0:r>
        <ns0:rPr>
          <ns0:rtl ns0:val="0"/>
        </ns0:rPr>
        <ns0:t xml:space="preserve">Document outcomes</ns0:t>
      </ns0:r>
    </ns0:p>
    <ns0:p ns0:rsidR="00000000" ns0:rsidDel="00000000" ns0:rsidP="00000000" ns0:rsidRDefault="00000000" ns0:rsidRPr="00000000" ns1:paraId="0000003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must consider the pre-populated going concern indicators and record any events or conditions identified that may cast significant doubt on the entity's ability to continue as a going concern. The considerations address fixed-term borrowings, withdrawal of financial support, inability to pay creditors, non-compliance with statutory requirements, cash flow or liquidity concerns, and the results of the final analytical review.</ns0:t>
      </ns0:r>
    </ns0:p>
    <ns0:p ns0:rsidR="00000000" ns0:rsidDel="00000000" ns0:rsidP="00000000" ns0:rsidRDefault="00000000" ns0:rsidRPr="00000000" ns1:paraId="00000036">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must review the pre-populated conclusion and audit opinion on going concern. Where no doubt exists, the default conclusion and opinion are retained. Where events or conditions have been identified, the conclusion and audit opinion must be amended accordingly.</ns0:t>
      </ns0:r>
    </ns0:p>
    <ns0:p ns0:rsidR="00000000" ns0:rsidDel="00000000" ns0:rsidP="00000000" ns0:rsidRDefault="00000000" ns0:rsidRPr="00000000" ns1:paraId="00000037">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partner must review the partner sign-off declaration confirming that the going concern procedures and evidence have been reviewed and that sufficient and appropriate audit evidence has been obtained to support the going concern conclusion and the report of the independent auditor.</ns0:t>
      </ns0:r>
    </ns0:p>
    <ns0:p ns0:rsidR="00000000" ns0:rsidDel="00000000" ns0:rsidP="00000000" ns0:rsidRDefault="00000000" ns0:rsidRPr="00000000" ns1:paraId="00000038">
      <ns0:pPr>
        <ns0:rPr/>
      </ns0:pPr>
    </ns0:p>
    <ns0:p ns0:rsidR="00000000" ns0:rsidDel="00000000" ns0:rsidP="00000000" ns0:rsidRDefault="00000000" ns0:rsidRPr="00000000" ns1:paraId="00000039">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3A">
      <ns0:pPr>
        <ns0:pStyle ns0:val="Heading1"/>
      </ns0:pPr>
      <ns0:bookmarkStart ns0:colFirst="0" ns0:colLast="0" ns0:name="_groupaudits0220" ns0:id="6"/>
      <ns0:bookmarkEnd ns0:id="6"/>
      <ns0:r>
        <ns0:rPr>
          <ns0:rtl ns0:val="0"/>
        </ns0:rPr>
        <ns0:t xml:space="preserve">Group Audits</ns0:t>
      </ns0:r>
    </ns0:p>
    <ns0:p ns0:rsidR="00000000" ns0:rsidDel="00000000" ns0:rsidP="00000000" ns0:rsidRDefault="00000000" ns0:rsidRPr="00000000" ns1:paraId="0000003B">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When the engagement type was selected as 'Group Audit Single' or 'Group Audit Multiple', the going concern conclusion applies to the group financial statements. The engagement team must consider going concern at both the group and component level and ensure the conclusion reflects the consolidated position of the group.</ns0:t>
      </ns0:r>
    </ns0:p>
    <ns0:p ns0:rsidR="00000000" ns0:rsidDel="00000000" ns0:rsidP="00000000" ns0:rsidRDefault="00000000" ns0:rsidRPr="00000000" ns1:paraId="0000003C">
      <ns0:pPr>
        <ns0:pStyle ns0:val="Heading1"/>
      </ns0:pPr>
      <ns0:bookmarkStart ns0:colFirst="0" ns0:colLast="0" ns0:name="_inconclusion0220" ns0:id="7"/>
      <ns0:bookmarkEnd ns0:id="7"/>
      <ns0:r>
        <ns0:rPr>
          <ns0:rtl ns0:val="0"/>
        </ns0:rPr>
        <ns0:t xml:space="preserve">IN CONCLUSION</ns0:t>
      </ns0:r>
    </ns0:p>
    <ns0:p ns0:rsidR="00000000" ns0:rsidDel="00000000" ns0:rsidP="00000000" ns0:rsidRDefault="00000000" ns0:rsidRPr="00000000" ns1:paraId="0000003D">
      <ns0:pPr>
        <ns0:pStyle ns0:val="Heading1"/>
      </ns0:pPr>
      <ns0:bookmarkStart ns0:colFirst="0" ns0:colLast="0" ns0:name="_features0220" ns0:id="8"/>
      <ns0:bookmarkEnd ns0:id="8"/>
      <ns0:r>
        <ns0:rPr>
          <ns0:rtl ns0:val="0"/>
        </ns0:rPr>
        <ns0:t xml:space="preserve">Features</ns0:t>
      </ns0:r>
    </ns0:p>
    <ns0:p ns0:rsidR="00000000" ns0:rsidDel="00000000" ns0:rsidP="00000000" ns0:rsidRDefault="00000000" ns0:rsidRPr="00000000" ns1:paraId="0000003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following features are available in the document:</ns0:t>
      </ns0:r>
    </ns0:p>
    <ns0:p ns0:rsidR="00000000" ns0:rsidDel="00000000" ns0:rsidP="00000000" ns0:rsidRDefault="00000000" ns0:rsidRPr="00000000" ns1:paraId="0000003F">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comment, see page </ns0:t>
      </ns0:r>
      <ns0:r>
        <ns0:rPr>
          <ns0:rFonts ns0:ascii="Switzer" ns0:hAnsi="Switzer" ns0:cs="Switzer" ns0:eastAsia="Switzer"/>
          <ns0:b ns0:val="0"/>
          <ns0:color ns0:val="51626f"/>
          <ns0:sz ns0:val="20"/>
          <ns0:szCs ns0:val="20"/>
          <ns0:u ns0:val="single"/>
          <ns0:rtl ns0:val="0"/>
        </ns0:rPr>
        <ns0:t>F3</ns0:t>
      </ns0:r>
    </ns0:p>
    <ns0:p ns0:rsidR="00000000" ns0:rsidDel="00000000" ns0:rsidP="00000000" ns0:rsidRDefault="00000000" ns0:rsidRPr="00000000" ns1:paraId="0000004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Guidance, see page </ns0:t>
      </ns0:r>
      <ns0:r>
        <ns0:rPr>
          <ns0:rFonts ns0:ascii="Switzer" ns0:hAnsi="Switzer" ns0:cs="Switzer" ns0:eastAsia="Switzer"/>
          <ns0:b ns0:val="0"/>
          <ns0:color ns0:val="51626f"/>
          <ns0:sz ns0:val="20"/>
          <ns0:szCs ns0:val="20"/>
          <ns0:u ns0:val="single"/>
          <ns0:rtl ns0:val="0"/>
        </ns0:rPr>
        <ns0:t>F16</ns0:t>
      </ns0:r>
    </ns0:p>
    <ns0:p ns0:rsidR="00000000" ns0:rsidDel="00000000" ns0:rsidP="00000000" ns0:rsidRDefault="00000000" ns0:rsidRPr="00000000" ns1:paraId="00000041">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Freeze, see page </ns0:t>
      </ns0:r>
      <ns0:r>
        <ns0:rPr>
          <ns0:rFonts ns0:ascii="Switzer" ns0:hAnsi="Switzer" ns0:cs="Switzer" ns0:eastAsia="Switzer"/>
          <ns0:b ns0:val="0"/>
          <ns0:color ns0:val="51626f"/>
          <ns0:sz ns0:val="20"/>
          <ns0:szCs ns0:val="20"/>
          <ns0:u ns0:val="single"/>
          <ns0:rtl ns0:val="0"/>
        </ns0:rPr>
        <ns0:t>F19</ns0:t>
      </ns0:r>
    </ns0:p>
    <ns0:p ns0:rsidR="00000000" ns0:rsidDel="00000000" ns0:rsidP="00000000" ns0:rsidRDefault="00000000" ns0:rsidRPr="00000000" ns1:paraId="00000042">
      <ns0:pPr>
        <ns0:rPr/>
      </ns0:pPr>
    </ns0:p>
    <ns0:sectPr>
      <ns0:pgSz ns0:w="11906" ns0:h="16838" ns0:orient="portrait"/>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