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02.70 MANAGER’S FINAL CHECKLIST</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pPr>
      <ns0:bookmarkStart ns0:colFirst="0" ns0:colLast="0" ns0:name="_objective0270" ns0:id="1"/>
      <ns0:bookmarkEnd ns0:id="1"/>
      <ns0:r>
        <ns0:rPr>
          <ns0:rtl ns0:val="0"/>
        </ns0:rPr>
        <ns0:t xml:space="preserve">Objective</ns0:t>
      </ns0:r>
    </ns0:p>
    <ns0:p ns0:rsidR="00000000" ns0:rsidDel="00000000" ns0:rsidP="00000000" ns0:rsidRDefault="00000000" ns0:rsidRPr="00000000" ns1:paraId="00000005">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objective of this document is to provide the manager of the engagement team with a comprehensive checklist, organised by International Standard on Auditing, to confirm that all audit requirements have been met and all relevant matters have been appropriately addressed before finalising the engagement.</ns0:t>
      </ns0:r>
    </ns0:p>
    <ns0:p ns0:rsidR="00000000" ns0:rsidDel="00000000" ns0:rsidP="00000000" ns0:rsidRDefault="00000000" ns0:rsidRPr="00000000" ns1:paraId="00000006">
      <ns0:pPr>
        <ns0:rPr/>
      </ns0:pPr>
    </ns0:p>
    <ns0:p ns0:rsidR="00000000" ns0:rsidDel="00000000" ns0:rsidP="00000000" ns0:rsidRDefault="00000000" ns0:rsidRPr="00000000" ns1:paraId="1000026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68">
      <ns0:pPr>
        <ns0:numPr>
          <ns0:ilvl ns0:val="0"/>
          <ns0:numId ns0:val="1"/>
        </ns0:numPr>
        <ns0:ind ns0:left="360"/>
        <ns0:spacing ns0:before="0" ns0:after="0"/>
      </ns0:pPr>
      <ns0:r>
        <ns0:rPr>
          <ns0:b ns0:val="1"/>
          <ns0:bCs ns0:val="1"/>
          <ns0:rtl ns0:val="0"/>
        </ns0:rPr>
        <ns0:t xml:space="preserve">Comprehensive quality review across all applicable ISAs at the manager level (ISA 220)</ns0:t>
      </ns0:r>
    </ns0:p>
    <ns0:p ns0:rsidR="00000000" ns0:rsidDel="00000000" ns0:rsidP="00000000" ns0:rsidRDefault="00000000" ns0:rsidRPr="00000000" ns1:paraId="10000269">
      <ns0:pPr>
        <ns0:numPr>
          <ns0:ilvl ns0:val="0"/>
          <ns0:numId ns0:val="1"/>
        </ns0:numPr>
        <ns0:ind ns0:left="360"/>
        <ns0:spacing ns0:before="0" ns0:after="0"/>
      </ns0:pPr>
      <ns0:r>
        <ns0:rPr>
          <ns0:b ns0:val="1"/>
          <ns0:bCs ns0:val="1"/>
          <ns0:rtl ns0:val="0"/>
        </ns0:rPr>
        <ns0:t xml:space="preserve">Evaluation of the sufficiency and appropriateness of audit evidence obtained</ns0:t>
      </ns0:r>
    </ns0:p>
    <ns0:p ns0:rsidR="00000000" ns0:rsidDel="00000000" ns0:rsidP="00000000" ns0:rsidRDefault="00000000" ns0:rsidRPr="00000000" ns1:paraId="1000026A">
      <ns0:pPr>
        <ns0:numPr>
          <ns0:ilvl ns0:val="0"/>
          <ns0:numId ns0:val="1"/>
        </ns0:numPr>
        <ns0:ind ns0:left="360"/>
        <ns0:spacing ns0:before="0" ns0:after="0"/>
      </ns0:pPr>
      <ns0:r>
        <ns0:rPr>
          <ns0:b ns0:val="1"/>
          <ns0:bCs ns0:val="1"/>
          <ns0:rtl ns0:val="0"/>
        </ns0:rPr>
        <ns0:t xml:space="preserve">Quality control checkpoint between detailed senior work and the engagement partner’s final review</ns0:t>
      </ns0:r>
    </ns0:p>
    <ns0:p ns0:rsidR="00000000" ns0:rsidDel="00000000" ns0:rsidP="00000000" ns0:rsidRDefault="00000000" ns0:rsidRPr="00000000" ns1:paraId="1000026B">
      <ns0:pPr>
        <ns0:rPr/>
      </ns0:pPr>
    </ns0:p>
    <ns0:p ns0:rsidR="00000000" ns0:rsidDel="00000000" ns0:rsidP="00000000" ns0:rsidRDefault="00000000" ns0:rsidRPr="00000000" ns1:paraId="00000009">
      <ns0:pPr>
        <ns0:spacing ns0:after="0"/>
        <ns0:rPr/>
      </ns0:pPr>
      <ns0:bookmarkStart ns0:colFirst="0" ns0:colLast="0" ns0:name="_docplacement0270" ns0:id="2"/>
      <ns0:bookmarkEnd ns0:id="2"/>
      <ns0:r>
        <ns0:rPr>
          <ns0:rFonts ns0:ascii="Pastiche Grotesque" ns0:hAnsi="Pastiche Grotesque" ns0:cs="Pastiche Grotesque" ns0:eastAsia="Pastiche Grotesque"/>
          <ns0:b ns0:val="1"/>
          <ns0:color ns0:val="51626f"/>
          <ns0:sz ns0:val="26"/>
          <ns0:szCs ns0:val="26"/>
          <ns0:u ns0:val="none"/>
          <ns0:rtl ns0:val="0"/>
        </ns0:rPr>
        <ns0:t xml:space="preserve">Document placement</ns0:t>
      </ns0:r>
    </ns0:p>
    <ns0:p ns0:rsidR="00000000" ns0:rsidDel="00000000" ns0:rsidP="00000000" ns0:rsidRDefault="00000000" ns0:rsidRPr="00000000" ns1:paraId="0000000A">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Document 02.70 – Manager’s Final Checklist can be found in the Finalisation folder in the Caseware document manager.</ns0:t>
      </ns0:r>
    </ns0:p>
    <ns0:p ns0:rsidR="00AB0001" ns0:rsidRDefault="00AB0001">
      <ns0:pPr>
        <ns0:jc ns0:val="center"/>
        <ns0:rPr/>
      </ns0:pPr>
      <ns0:r>
        <ns0:rPr/>
        <ns0:drawing>
          <ns2:inline distT="0" distB="0" distL="0" distR="0">
            <ns2:extent cx="4572000" cy="3540075"/>
            <ns2:effectExtent l="0" t="0" r="0" b="0"/>
            <ns2:docPr id="901" name="Bookmark 02.70" descr="Bookmark placement for 02.70"/>
            <ns2:cNvGraphicFramePr>
              <ns3:graphicFrameLocks noChangeAspect="1"/>
            </ns2:cNvGraphicFramePr>
            <ns3:graphic>
              <ns3:graphicData uri="http://schemas.openxmlformats.org/drawingml/2006/picture">
                <ns4:pic>
                  <ns4:nvPicPr>
                    <ns4:cNvPr id="901" name="Bookmark 02.70" descr="Bookmark placement for 02.70"/>
                    <ns4:cNvPicPr/>
                  </ns4:nvPicPr>
                  <ns4:blipFill>
                    <ns3:blip ns5:embed="rId9"/>
                    <ns3:stretch>
                      <ns3:fillRect/>
                    </ns3:stretch>
                  </ns4:blipFill>
                  <ns4:spPr>
                    <ns3:xfrm>
                      <ns3:off x="0" y="0"/>
                      <ns3:ext cx="4572000" cy="3540075"/>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0C">
      <ns0:pPr>
        <ns0:pStyle ns0:val="Heading1"/>
      </ns0:pPr>
      <ns0:bookmarkStart ns0:colFirst="0" ns0:colLast="0" ns0:name="_doccontent0270" ns0:id="3"/>
      <ns0:bookmarkEnd ns0:id="3"/>
      <ns0:r>
        <ns0:rPr>
          <ns0:rtl ns0:val="0"/>
        </ns0:rPr>
        <ns0:t xml:space="preserve">Document content</ns0:t>
      </ns0:r>
    </ns0:p>
    <ns0:p ns0:rsidR="00000000" ns0:rsidDel="00000000" ns0:rsidP="00000000" ns0:rsidRDefault="00000000" ns0:rsidRPr="00000000" ns1:paraId="0000000D">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designed to be a checklist type document that provides the manager of the engagement team with 42 considerations organised by International Standard on Auditing. The considerations are grouped under ISA sub-headings within the document to confirm that the requirements of each applicable ISA have been met.</ns0:t>
      </ns0:r>
    </ns0:p>
    <ns0:p ns0:rsidR="00000000" ns0:rsidDel="00000000" ns0:rsidP="00000000" ns0:rsidRDefault="00000000" ns0:rsidRPr="00000000" ns1:paraId="0000000E">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checklist covers ISA 200 (Overall Objectives), ISA 220 (Quality Management), ISA 230 (Audit Documentation), ISA 240 (Fraud), ISA 250 (Laws and Regulations), ISA 260 (Communication with Those Charged with Governance), ISA 265 (Communicating Control Deficiencies), ISA 450 (Evaluation of Misstatements), ISA 500 and 501 (Audit Evidence), ISA 505 (External Confirmations), ISA 520 (Analytical Procedures), ISA 530 (Audit Sampling), ISA 540 (Estimates), ISA 550 (Related Parties), ISA 560 (Subsequent Events), ISA 570 (Going Concern), ISA 580 (Written Representations), ISA 700 (Forming an Opinion), ISA 701 (Key Audit Matters), ISA 705 (Modifications to the Opinion), ISA 706 (Emphasis of Matter), ISA 710 (Comparative Information), and ISA 720 (Other Information).</ns0:t>
      </ns0:r>
    </ns0:p>
    <ns0:p ns0:rsidR="00000000" ns0:rsidDel="00000000" ns0:rsidP="00000000" ns0:rsidRDefault="00000000" ns0:rsidRPr="00000000" ns1:paraId="0000000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This document is divided into different bookmarks in the document map to assist you in completing the manager’s final checklist:</ns0:t>
      </ns0:r>
    </ns0:p>
    <ns0:p ns0:rsidR="00000000" ns0:rsidDel="00000000" ns0:rsidP="00000000" ns0:rsidRDefault="00000000" ns0:rsidRPr="00000000" ns1:paraId="00000010">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Considerations</ns0:t>
      </ns0:r>
    </ns0:p>
    <ns0:p ns0:rsidR="00AB0002" ns0:rsidRDefault="00AB0002">
      <ns0:pPr>
        <ns0:jc ns0:val="center"/>
        <ns0:rPr/>
      </ns0:pPr>
      <ns0:r>
        <ns0:rPr/>
        <ns0:drawing>
          <ns2:inline distT="0" distB="0" distL="0" distR="0">
            <ns2:extent cx="4572000" cy="2791359"/>
            <ns2:effectExtent l="0" t="0" r="0" b="0"/>
            <ns2:docPr id="902" name="CaseView 02.70" descr="CaseView document map for 02.70"/>
            <ns2:cNvGraphicFramePr>
              <ns3:graphicFrameLocks noChangeAspect="1"/>
            </ns2:cNvGraphicFramePr>
            <ns3:graphic>
              <ns3:graphicData uri="http://schemas.openxmlformats.org/drawingml/2006/picture">
                <ns4:pic>
                  <ns4:nvPicPr>
                    <ns4:cNvPr id="902" name="CaseView 02.70" descr="CaseView document map for 02.70"/>
                    <ns4:cNvPicPr/>
                  </ns4:nvPicPr>
                  <ns4:blipFill>
                    <ns3:blip ns5:embed="rId10"/>
                    <ns3:stretch>
                      <ns3:fillRect/>
                    </ns3:stretch>
                  </ns4:blipFill>
                  <ns4:spPr>
                    <ns3:xfrm>
                      <ns3:off x="0" y="0"/>
                      <ns3:ext cx="4572000" cy="2791359"/>
                    </ns3:xfrm>
                    <ns3:prstGeom prst="rect">
                      <ns3:avLst/>
                    </ns3:prstGeom>
                    <ns3:ln w="12700">
                      <ns3:solidFill>
                        <ns3:srgbClr val="000000"/>
                      </ns3:solidFill>
                    </ns3:ln>
                  </ns4:spPr>
                </ns4:pic>
              </ns3:graphicData>
            </ns3:graphic>
          </ns2:inline>
        </ns0:drawing>
      </ns0:r>
    </ns0:p>
    <ns0:p ns0:rsidR="00000000" ns0:rsidDel="00000000" ns0:rsidP="00000000" ns0:rsidRDefault="00000000" ns0:rsidRPr="00000000" ns1:paraId="00000012">
      <ns0:pPr>
        <ns0:pStyle ns0:val="Heading1"/>
      </ns0:pPr>
      <ns0:bookmarkStart ns0:colFirst="0" ns0:colLast="0" ns0:name="_layout0270" ns0:id="4"/>
      <ns0:bookmarkEnd ns0:id="4"/>
      <ns0:r>
        <ns0:rPr>
          <ns0:rtl ns0:val="0"/>
        </ns0:rPr>
        <ns0:t xml:space="preserve">Layout</ns0:t>
      </ns0:r>
    </ns0:p>
    <ns0:tbl>
      <ns0:tblPr>
        <ns0:tblStyle ns0:val="TableGrid"/>
        <ns0:tblW ns0:w="10110" ns0:type="dxa"/>
        <ns0:tblBorders>
          <ns0:top ns0:val="single" ns0:sz="8" ns0:space="0" ns0:color="auto"/>
          <ns0:left ns0:val="single" ns0:sz="8" ns0:space="0" ns0:color="auto"/>
          <ns0:bottom ns0:val="single" ns0:sz="8" ns0:space="0" ns0:color="auto"/>
          <ns0:right ns0:val="single" ns0:sz="8" ns0:space="0" ns0:color="auto"/>
          <ns0:insideH ns0:val="single" ns0:sz="8" ns0:space="0" ns0:color="auto"/>
          <ns0:insideV ns0:val="single" ns0:sz="8" ns0:space="0" ns0:color="auto"/>
        </ns0:tblBorders>
        <ns0:tblLayout ns0:type="fixed"/>
      </ns0:tblPr>
      <ns0:tblGrid>
        <ns0:gridCol ns0:w="2580"/>
        <ns0:gridCol ns0:w="3645"/>
        <ns0:gridCol ns0:w="3885"/>
      </ns0:tblGrid>
      <ns0:tr ns1:paraId="00000013">
        <ns0:tc>
          <ns0:tcPr>
            <ns0:tcW ns0:w="2580" ns0:type="dxa"/>
          </ns0:tcPr>
          <ns0:p ns1:paraId="00000014">
            <ns0:pPr>
              <ns0:rPr>
                <ns0:b ns0:val="1"/>
                <ns0:color ns0:val="FFFFFF"/>
              </ns0:rPr>
            </ns0:pPr>
            <ns0:r>
              <ns0:rPr>
                <ns0:b ns0:val="1"/>
              </ns0:rPr>
              <ns0:t>Column</ns0:t>
            </ns0:r>
          </ns0:p>
        </ns0:tc>
        <ns0:tc>
          <ns0:tcPr>
            <ns0:tcW ns0:w="3645" ns0:type="dxa"/>
          </ns0:tcPr>
          <ns0:p ns1:paraId="00000015">
            <ns0:pPr>
              <ns0:rPr>
                <ns0:b ns0:val="1"/>
                <ns0:color ns0:val="FFFFFF"/>
              </ns0:rPr>
            </ns0:pPr>
            <ns0:r>
              <ns0:rPr>
                <ns0:b ns0:val="1"/>
              </ns0:rPr>
              <ns0:t>Input Required</ns0:t>
            </ns0:r>
          </ns0:p>
        </ns0:tc>
        <ns0:tc>
          <ns0:tcPr>
            <ns0:tcW ns0:w="3885" ns0:type="dxa"/>
          </ns0:tcPr>
          <ns0:p ns1:paraId="00000016">
            <ns0:pPr>
              <ns0:rPr>
                <ns0:b ns0:val="1"/>
                <ns0:color ns0:val="FFFFFF"/>
              </ns0:rPr>
            </ns0:pPr>
            <ns0:r>
              <ns0:rPr>
                <ns0:b ns0:val="1"/>
              </ns0:rPr>
              <ns0:t>Outcome</ns0:t>
            </ns0:r>
          </ns0:p>
        </ns0:tc>
      </ns0:tr>
      <ns0:tr ns1:paraId="00000017">
        <ns0:tc>
          <ns0:tcPr>
            <ns0:tcW ns0:w="10110" ns0:type="dxa"/>
            <ns0:gridSpan ns0:val="3"/>
          </ns0:tcPr>
          <ns0:p ns1:paraId="00000018">
            <ns0:pPr>
              <ns0:jc ns0:val="center"/>
              <ns0:rPr>
                <ns0:b ns0:val="1"/>
                <ns0:color ns0:val="FFFFFF"/>
              </ns0:rPr>
            </ns0:pPr>
            <ns0:r>
              <ns0:rPr>
                <ns0:b ns0:val="1"/>
              </ns0:rPr>
              <ns0:t>Considerations</ns0:t>
            </ns0:r>
          </ns0:p>
        </ns0:tc>
      </ns0:tr>
      <ns0:tr ns1:paraId="00000019">
        <ns0:tc>
          <ns0:tcPr>
            <ns0:tcW ns0:w="2580" ns0:type="dxa"/>
          </ns0:tcPr>
          <ns0:p ns1:paraId="0000001A">
            <ns0:pPr>
              <ns0:rPr>
                <ns0:b ns0:val="1"/>
              </ns0:rPr>
            </ns0:pPr>
            <ns0:r>
              <ns0:rPr>
                <ns0:b ns0:val="1"/>
              </ns0:rPr>
              <ns0:t>Considerations</ns0:t>
            </ns0:r>
          </ns0:p>
        </ns0:tc>
        <ns0:tc>
          <ns0:tcPr>
            <ns0:tcW ns0:w="3645" ns0:type="dxa"/>
          </ns0:tcPr>
          <ns0:p ns1:paraId="0000001B">
            <ns0:r>
              <ns0:t xml:space="preserve">No input is required in this column. The considerations are pre-populated and present 42 questions organised under ISA sub-headings. Each sub-heading identifies the relevant International Standard on Auditing, and the questions beneath it address the specific requirements of that standard. The ISA sub-headings covered are: ISA 200, ISA 220, ISA 230, ISA 240, ISA 250, ISA 260, ISA 265, ISA 450, ISA 500 and 501, ISA 505, ISA 520, ISA 530, ISA 540, ISA 550, ISA 560, ISA 570, ISA 580, ISA 700, ISA 701, ISA 705, ISA 706, ISA 710, and ISA 720.</ns0:t>
            </ns0:r>
          </ns0:p>
        </ns0:tc>
        <ns0:tc>
          <ns0:tcPr>
            <ns0:tcW ns0:w="3885" ns0:type="dxa"/>
          </ns0:tcPr>
          <ns0:p ns1:paraId="0000001C">
            <ns0:r>
              <ns0:t xml:space="preserve">No impact on the engagement file. Documents the considerations to be confirmed by the manager before finalising the engagement.</ns0:t>
            </ns0:r>
          </ns0:p>
        </ns0:tc>
      </ns0:tr>
      <ns0:tr ns1:paraId="0000001D">
        <ns0:tc>
          <ns0:tcPr>
            <ns0:tcW ns0:w="2580" ns0:type="dxa"/>
          </ns0:tcPr>
          <ns0:p ns1:paraId="0000001E">
            <ns0:pPr>
              <ns0:rPr>
                <ns0:b ns0:val="1"/>
              </ns0:rPr>
            </ns0:pPr>
            <ns0:r>
              <ns0:rPr>
                <ns0:b ns0:val="1"/>
              </ns0:rPr>
              <ns0:t>Yes/No</ns0:t>
            </ns0:r>
          </ns0:p>
        </ns0:tc>
        <ns0:tc>
          <ns0:tcPr>
            <ns0:tcW ns0:w="3645" ns0:type="dxa"/>
          </ns0:tcPr>
          <ns0:p ns1:paraId="0000001F">
            <ns0:r>
              <ns0:t xml:space="preserve">Select 'Yes' or 'No' to confirm whether each consideration has been addressed. All considerations should be answered 'Yes' before the engagement is finalised.</ns0:t>
            </ns0:r>
          </ns0:p>
        </ns0:tc>
        <ns0:tc>
          <ns0:tcPr>
            <ns0:tcW ns0:w="3885" ns0:type="dxa"/>
          </ns0:tcPr>
          <ns0:p ns1:paraId="00000020">
            <ns0:r>
              <ns0:t xml:space="preserve">No impact on the engagement file. Documents the manager’s confirmation that each consideration has been addressed.</ns0:t>
            </ns0:r>
          </ns0:p>
        </ns0:tc>
      </ns0:tr>
      <ns0:tr ns1:paraId="00000021">
        <ns0:tc>
          <ns0:tcPr>
            <ns0:tcW ns0:w="2580" ns0:type="dxa"/>
          </ns0:tcPr>
          <ns0:p ns1:paraId="00000022">
            <ns0:pPr>
              <ns0:rPr>
                <ns0:b ns0:val="1"/>
              </ns0:rPr>
            </ns0:pPr>
            <ns0:r>
              <ns0:rPr>
                <ns0:b ns0:val="1"/>
              </ns0:rPr>
              <ns0:t>Performed by</ns0:t>
            </ns0:r>
          </ns0:p>
        </ns0:tc>
        <ns0:tc>
          <ns0:tcPr>
            <ns0:tcW ns0:w="3645" ns0:type="dxa"/>
          </ns0:tcPr>
          <ns0:p ns1:paraId="00000023">
            <ns0:r>
              <ns0:t xml:space="preserve">Enter the name or initials of the engagement team member who confirmed each consideration and the date of confirmation.</ns0:t>
            </ns0:r>
          </ns0:p>
        </ns0:tc>
        <ns0:tc>
          <ns0:tcPr>
            <ns0:tcW ns0:w="3885" ns0:type="dxa"/>
          </ns0:tcPr>
          <ns0:p ns1:paraId="00000024">
            <ns0:r>
              <ns0:t xml:space="preserve">No impact on the engagement file. Records who confirmed each consideration and when it was confirmed.</ns0:t>
            </ns0:r>
          </ns0:p>
        </ns0:tc>
      </ns0:tr>
      <ns0:tr ns1:paraId="00000025">
        <ns0:tc>
          <ns0:tcPr>
            <ns0:tcW ns0:w="2580" ns0:type="dxa"/>
          </ns0:tcPr>
          <ns0:p ns1:paraId="00000026">
            <ns0:pPr>
              <ns0:rPr>
                <ns0:b ns0:val="1"/>
              </ns0:rPr>
            </ns0:pPr>
            <ns0:r>
              <ns0:rPr>
                <ns0:b ns0:val="1"/>
              </ns0:rPr>
              <ns0:t>Ref</ns0:t>
            </ns0:r>
          </ns0:p>
        </ns0:tc>
        <ns0:tc>
          <ns0:tcPr>
            <ns0:tcW ns0:w="3645" ns0:type="dxa"/>
          </ns0:tcPr>
          <ns0:p ns1:paraId="00000027">
            <ns0:r>
              <ns0:t xml:space="preserve">Enter a cross-reference to the relevant working paper or supporting documentation for each consideration.</ns0:t>
            </ns0:r>
          </ns0:p>
        </ns0:tc>
        <ns0:tc>
          <ns0:tcPr>
            <ns0:tcW ns0:w="3885" ns0:type="dxa"/>
          </ns0:tcPr>
          <ns0:p ns1:paraId="00000028">
            <ns0:r>
              <ns0:t xml:space="preserve">No impact on the engagement file. Documents the cross-reference for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0:rsidDel="00000000" ns0:rsidP="00000000" ns0:rsidRDefault="00000000" ns0:rsidRPr="00000000" ns1:paraId="0000002A">
      <ns0:pPr>
        <ns0:pStyle ns0:val="Heading1"/>
      </ns0:pPr>
      <ns0:bookmarkStart ns0:colFirst="0" ns0:colLast="0" ns0:name="_docoutcomes0270" ns0:id="5"/>
      <ns0:bookmarkEnd ns0:id="5"/>
      <ns0:r>
        <ns0:rPr>
          <ns0:rtl ns0:val="0"/>
        </ns0:rPr>
        <ns0:t xml:space="preserve">Document outcomes</ns0:t>
      </ns0:r>
    </ns0:p>
    <ns0:p ns0:rsidR="00000000" ns0:rsidDel="00000000" ns0:rsidP="00000000" ns0:rsidRDefault="00000000" ns0:rsidRPr="00000000" ns1:paraId="0000002B">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manager must confirm that all 42 considerations have been addressed by answering 'Yes' or 'No' to each question. All considerations should be answered 'Yes' before the engagement is finalised. Where a consideration is answered 'No', the engagement team must ensure that the matter is appropriately resolved before the engagement file is assembled and locked down. The checklist serves as evidence that the manager has reviewed the engagement for compliance with each applicable ISA, including overall objectives, quality management, documentation, fraud, laws and regulations, communication with those charged with governance, audit evidence, analytical procedures, estimates, related parties, subsequent events, going concern, written representations, the audit opinion, and reporting requirements.</ns0:t>
      </ns0:r>
    </ns0:p>
    <ns0:p ns0:rsidR="00000000" ns0:rsidDel="00000000" ns0:rsidP="00000000" ns0:rsidRDefault="00000000" ns0:rsidRPr="00000000" ns1:paraId="0000002C">
      <ns0:pPr>
        <ns0:rPr/>
      </ns0:pPr>
    </ns0:p>
    <ns0:p ns0:rsidR="00000000" ns0:rsidDel="00000000" ns0:rsidP="00000000" ns0:rsidRDefault="00000000" ns0:rsidRPr="00000000" ns1:paraId="0000002D">
      <ns0:pPr>
        <ns0:rPr/>
      </ns0:pPr>
      <ns0:r>
        <ns0:pict>
          <ns6:rect style="width:0.0pt;height:1.5pt" ns7:hr="t" ns7:hrstd="t" ns7:hralign="center" fillcolor="#A0A0A0" stroked="f"/>
        </ns0:pict>
      </ns0:r>
      <ns0:r>
        <ns0:rPr>
          <ns0:rtl ns0:val="0"/>
        </ns0:rPr>
      </ns0:r>
    </ns0:p>
    <ns0:p ns0:rsidR="00000000" ns0:rsidDel="00000000" ns0:rsidP="00000000" ns0:rsidRDefault="00000000" ns0:rsidRPr="00000000" ns1:paraId="0000002E">
      <ns0:pPr>
        <ns0:pStyle ns0:val="Heading1"/>
      </ns0:pPr>
      <ns0:bookmarkStart ns0:colFirst="0" ns0:colLast="0" ns0:name="_groupaudits0270" ns0:id="6"/>
      <ns0:bookmarkEnd ns0:id="6"/>
      <ns0:r>
        <ns0:rPr>
          <ns0:rtl ns0:val="0"/>
        </ns0:rPr>
        <ns0:t xml:space="preserve">Group Audits</ns0:t>
      </ns0:r>
    </ns0:p>
    <ns0:p ns0:rsidR="00000000" ns0:rsidDel="00000000" ns0:rsidP="00000000" ns0:rsidRDefault="00000000" ns0:rsidRPr="00000000" ns1:paraId="0000002F">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When the engagement type was selected as 'Group Audit Single' or 'Group Audit Multiple', the manager’s final checklist applies to the group engagement. The engagement team must ensure that all considerations are addressed in the context of the group audit, including the involvement of component auditors and the adequacy of group audit documentation.</ns0:t>
      </ns0:r>
    </ns0:p>
    <ns0:p ns0:rsidR="00000000" ns0:rsidDel="00000000" ns0:rsidP="00000000" ns0:rsidRDefault="00000000" ns0:rsidRPr="00000000" ns1:paraId="00000030">
      <ns0:pPr>
        <ns0:pStyle ns0:val="Heading1"/>
      </ns0:pPr>
      <ns0:bookmarkStart ns0:colFirst="0" ns0:colLast="0" ns0:name="_inconclusion0270" ns0:id="7"/>
      <ns0:bookmarkEnd ns0:id="7"/>
      <ns0:r>
        <ns0:rPr>
          <ns0:rtl ns0:val="0"/>
        </ns0:rPr>
        <ns0:t xml:space="preserve">IN CONCLUSION</ns0:t>
      </ns0:r>
    </ns0:p>
    <ns0:p ns0:rsidR="00000000" ns0:rsidDel="00000000" ns0:rsidP="00000000" ns0:rsidRDefault="00000000" ns0:rsidRPr="00000000" ns1:paraId="00000031">
      <ns0:pPr>
        <ns0:pStyle ns0:val="Heading1"/>
      </ns0:pPr>
      <ns0:bookmarkStart ns0:colFirst="0" ns0:colLast="0" ns0:name="_features0270" ns0:id="8"/>
      <ns0:bookmarkEnd ns0:id="8"/>
      <ns0:r>
        <ns0:rPr>
          <ns0:rtl ns0:val="0"/>
        </ns0:rPr>
        <ns0:t xml:space="preserve">Features</ns0:t>
      </ns0:r>
    </ns0:p>
    <ns0:p ns0:rsidR="00000000" ns0:rsidDel="00000000" ns0:rsidP="00000000" ns0:rsidRDefault="00000000" ns0:rsidRPr="00000000" ns1:paraId="00000032">
      <ns0:pPr>
        <ns0:pStyle ns0:val="Heading2"/>
        <ns0:rPr>
          <ns0:rFonts ns0:ascii="Switzer" ns0:hAnsi="Switzer" ns0:cs="Switzer" ns0:eastAsia="Switzer"/>
          <ns0:b ns0:val="0"/>
          <ns0:color ns0:val="51626f"/>
          <ns0:sz ns0:val="20"/>
          <ns0:szCs ns0:val="20"/>
          <ns0:u ns0:val="none"/>
        </ns0:rPr>
      </ns0:pPr>
      <ns0:r>
        <ns0:rPr>
          <ns0:rFonts ns0:ascii="Switzer" ns0:hAnsi="Switzer" ns0:cs="Switzer" ns0:eastAsia="Switzer"/>
          <ns0:b ns0:val="0"/>
          <ns0:color ns0:val="51626f"/>
          <ns0:sz ns0:val="20"/>
          <ns0:szCs ns0:val="20"/>
          <ns0:u ns0:val="none"/>
          <ns0:rtl ns0:val="0"/>
        </ns0:rPr>
        <ns0:t xml:space="preserve">The following features are available in the document:</ns0:t>
      </ns0:r>
    </ns0:p>
    <ns0:p ns0:rsidR="00000000" ns0:rsidDel="00000000" ns0:rsidP="00000000" ns0:rsidRDefault="00000000" ns0:rsidRPr="00000000" ns1:paraId="00000033">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Insert or delete a comment, see page </ns0:t>
      </ns0:r>
      <ns0:r>
        <ns0:rPr>
          <ns0:rFonts ns0:ascii="Switzer" ns0:hAnsi="Switzer" ns0:cs="Switzer" ns0:eastAsia="Switzer"/>
          <ns0:b ns0:val="0"/>
          <ns0:color ns0:val="51626f"/>
          <ns0:sz ns0:val="20"/>
          <ns0:szCs ns0:val="20"/>
          <ns0:u ns0:val="single"/>
          <ns0:rtl ns0:val="0"/>
        </ns0:rPr>
        <ns0:t>F3</ns0:t>
      </ns0:r>
    </ns0:p>
    <ns0:p ns0:rsidR="00000000" ns0:rsidDel="00000000" ns0:rsidP="00000000" ns0:rsidRDefault="00000000" ns0:rsidRPr="00000000" ns1:paraId="00000034">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Guidance, see page </ns0:t>
      </ns0:r>
      <ns0:r>
        <ns0:rPr>
          <ns0:rFonts ns0:ascii="Switzer" ns0:hAnsi="Switzer" ns0:cs="Switzer" ns0:eastAsia="Switzer"/>
          <ns0:b ns0:val="0"/>
          <ns0:color ns0:val="51626f"/>
          <ns0:sz ns0:val="20"/>
          <ns0:szCs ns0:val="20"/>
          <ns0:u ns0:val="single"/>
          <ns0:rtl ns0:val="0"/>
        </ns0:rPr>
        <ns0:t>F16</ns0:t>
      </ns0:r>
    </ns0:p>
    <ns0:p ns0:rsidR="00000000" ns0:rsidDel="00000000" ns0:rsidP="00000000" ns0:rsidRDefault="00000000" ns0:rsidRPr="00000000" ns1:paraId="00000035">
      <ns0:pPr>
        <ns0:pStyle ns0:val="Heading2"/>
        <ns0:numPr>
          <ns0:ilvl ns0:val="0"/>
          <ns0:numId ns0:val="1"/>
        </ns0:numPr>
        <ns0:rPr>
          <ns0:rFonts ns0:ascii="Switzer" ns0:hAnsi="Switzer" ns0:cs="Switzer" ns0:eastAsia="Switzer"/>
          <ns0:b ns0:val="0"/>
          <ns0:color ns0:val="51626f"/>
          <ns0:sz ns0:val="20"/>
          <ns0:szCs ns0:val="20"/>
          <ns0:u ns0:val="none"/>
        </ns0:rPr>
        <ns0:spacing ns0:before="0" ns0:after="0"/>
      </ns0:pPr>
      <ns0:r>
        <ns0:rPr>
          <ns0:rFonts ns0:ascii="Switzer" ns0:hAnsi="Switzer" ns0:cs="Switzer" ns0:eastAsia="Switzer"/>
          <ns0:b ns0:val="0"/>
          <ns0:color ns0:val="51626f"/>
          <ns0:sz ns0:val="20"/>
          <ns0:szCs ns0:val="20"/>
          <ns0:u ns0:val="none"/>
          <ns0:rtl ns0:val="0"/>
        </ns0:rPr>
        <ns0:t xml:space="preserve">Freeze, see page </ns0:t>
      </ns0:r>
      <ns0:r>
        <ns0:rPr>
          <ns0:rFonts ns0:ascii="Switzer" ns0:hAnsi="Switzer" ns0:cs="Switzer" ns0:eastAsia="Switzer"/>
          <ns0:b ns0:val="0"/>
          <ns0:color ns0:val="51626f"/>
          <ns0:sz ns0:val="20"/>
          <ns0:szCs ns0:val="20"/>
          <ns0:u ns0:val="single"/>
          <ns0:rtl ns0:val="0"/>
        </ns0:rPr>
        <ns0:t>F19</ns0:t>
      </ns0:r>
    </ns0:p>
    <ns0:p ns0:rsidR="00000000" ns0:rsidDel="00000000" ns0:rsidP="00000000" ns0:rsidRDefault="00000000" ns0:rsidRPr="00000000" ns1:paraId="00000036">
      <ns0:pPr>
        <ns0:rPr/>
      </ns0:pPr>
    </ns0:p>
    <ns0:sectPr>
      <ns0:pgSz ns0:w="11906" ns0:h="16838" ns0:orient="portrait"/>
      <ns0:pgMar ns0:top="720" ns0:right="720" ns0:bottom="720" ns0:left="1080" ns0:header="720" ns0:footer="720" ns0:gutter="0"/>
      <ns0:pgNumType ns0:start="1"/>
      <ns0:cols ns0:space="72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