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microsoft.com/office/word/2010/wordml" xmlns:ns2="http://schemas.openxmlformats.org/drawingml/2006/wordprocessingDrawing" xmlns:ns3="http://schemas.openxmlformats.org/drawingml/2006/main" xmlns:ns4="http://schemas.openxmlformats.org/drawingml/2006/picture" xmlns:ns5="http://schemas.openxmlformats.org/officeDocument/2006/relationships" xmlns:ns6="urn:schemas-microsoft-com:vml" xmlns:ns7="urn:schemas-microsoft-com:office:office">
  <ns0:body>
    <ns0:p ns0:rsidR="00000000" ns0:rsidDel="00000000" ns0:rsidP="00000000" ns0:rsidRDefault="00000000" ns0:rsidRPr="00000000" ns1:paraId="00000001">
      <ns0:pPr>
        <ns0:pStyle ns0:val="Title"/>
        <ns0:pBdr>
          <ns0:bottom ns0:val="single" ns0:sz="6" ns0:space="4" ns0:color="808080"/>
        </ns0:pBdr>
        <ns0:spacing ns0:after="0" ns0:lineRule="auto"/>
        <ns0:rPr/>
      </ns0:pPr>
      <ns0:r>
        <ns0:rPr>
          <ns0:rtl ns0:val="0"/>
        </ns0:rPr>
        <ns0:t xml:space="preserve">12.30 PLANNING MEMORANDUM</ns0:t>
      </ns0:r>
    </ns0:p>
    <ns0:p ns0:rsidR="00000000" ns0:rsidDel="00000000" ns0:rsidP="00000000" ns0:rsidRDefault="00000000" ns0:rsidRPr="00000000" ns1:paraId="00000002">
      <ns0:pPr>
        <ns0:rPr/>
      </ns0:pPr>
    </ns0:p>
    <ns0:p ns0:rsidR="00000000" ns0:rsidDel="00000000" ns0:rsidP="00000000" ns0:rsidRDefault="00000000" ns0:rsidRPr="00000000" ns1:paraId="00000003">
      <ns0:pPr>
        <ns0:rPr/>
      </ns0:pPr>
      <ns0:r>
        <ns0:rPr>
          <ns0:rtl ns0:val="0"/>
        </ns0:rPr>
        <ns0:t xml:space="preserve">The following describes the functionality and features included in Probe Audit Premium+</ns0:t>
      </ns0:r>
    </ns0:p>
    <ns0:p ns0:rsidR="00000000" ns0:rsidDel="00000000" ns0:rsidP="00000000" ns0:rsidRDefault="00000000" ns0:rsidRPr="00000000" ns1:paraId="00000004">
      <ns0:pPr>
        <ns0:pStyle ns0:val="Heading1"/>
        <ns0:rPr>
          <ns0:color ns0:val="51626f"/>
        </ns0:rPr>
      </ns0:pPr>
      <ns0:bookmarkStart ns0:colFirst="0" ns0:colLast="0" ns0:name="_objective" ns0:id="1"/>
      <ns0:bookmarkEnd ns0:id="1"/>
      <ns0:r>
        <ns0:rPr>
          <ns0:rtl ns0:val="0"/>
        </ns0:rPr>
        <ns0:t xml:space="preserve">Objective</ns0:t>
      </ns0:r>
    </ns0:p>
    <ns0:p ns0:rsidR="00000000" ns0:rsidDel="00000000" ns0:rsidP="00000000" ns0:rsidRDefault="00000000" ns0:rsidRPr="00000000" ns1:paraId="00000005">
      <ns0:pPr>
        <ns0:pStyle ns0:val="Heading2"/>
        <ns0:spacing ns0:after="120" ns0:before="120" ns0:line="240" ns0:lineRule="auto"/>
        <ns0:rPr>
          <ns0:rFonts ns0:ascii="Switzer" ns0:hAnsi="Switzer" ns0:cs="Switzer" ns0:eastAsia="Switzer"/>
          <ns0:b ns0:val="0"/>
          <ns0:bCs ns0:val="0"/>
          <ns0:color ns0:val="51626f"/>
          <ns0:sz ns0:val="20"/>
          <ns0:szCs ns0:val="20"/>
        </ns0:rPr>
      </ns0:pPr>
      <ns0:r>
        <ns0:rPr>
          <ns0:rFonts ns0:ascii="Switzer" ns0:hAnsi="Switzer" ns0:cs="Switzer" ns0:eastAsia="Switzer"/>
          <ns0:b ns0:val="0"/>
          <ns0:bCs ns0:val="0"/>
          <ns0:color ns0:val="51626f"/>
          <ns0:sz ns0:val="20"/>
          <ns0:szCs ns0:val="20"/>
          <ns0:rtl ns0:val="0"/>
        </ns0:rPr>
        <ns0:t xml:space="preserve">The objective of this document is to document the overall audit strategy and audit plan, record the entity information and planning meeting discussions, and obtain the engagement partner declaration.</ns0:t>
      </ns0:r>
    </ns0:p>
    <ns0:p ns0:rsidR="00000000" ns1:paraId="00000006">
      <ns0:pPr>
        <ns0:rPr/>
      </ns0:pPr>
    </ns0:p>
    <ns0:p ns0:rsidR="00000000" ns0:rsidDel="00000000" ns0:rsidP="00000000" ns0:rsidRDefault="00000000" ns0:rsidRPr="00000000" ns1:paraId="10000267">
      <ns0:pPr>
        <ns0:pStyle ns0:val="Heading2"/>
        <ns0:spacing ns0:after="120" ns0:before="200" ns0:line="240" ns0:lineRule="auto"/>
        <ns0:rPr>
          <ns0:rFonts ns0:ascii="Switzer" ns0:hAnsi="Switzer" ns0:cs="Switzer" ns0:eastAsia="Switzer"/>
          <ns0:b ns0:val="0"/>
          <ns0:bCs ns0:val="0"/>
          <ns0:color ns0:val="51626f"/>
          <ns0:sz ns0:val="20"/>
          <ns0:szCs ns0:val="20"/>
        </ns0:rPr>
      </ns0:pPr>
      <ns0:r>
        <ns0:rPr>
          <ns0:rFonts ns0:ascii="Switzer" ns0:hAnsi="Switzer" ns0:cs="Switzer" ns0:eastAsia="Switzer"/>
          <ns0:b ns0:val="0"/>
          <ns0:bCs ns0:val="0"/>
          <ns0:color ns0:val="51626f"/>
          <ns0:sz ns0:val="20"/>
          <ns0:szCs ns0:val="20"/>
          <ns0:rtl ns0:val="0"/>
        </ns0:rPr>
        <ns0:t xml:space="preserve">The following key concepts of the Probe Audit Premium+ Methodology are set in this document:</ns0:t>
      </ns0:r>
    </ns0:p>
    <ns0:p ns0:rsidR="00000000" ns0:rsidDel="00000000" ns0:rsidP="00000000" ns0:rsidRDefault="00000000" ns0:rsidRPr="00000000" ns1:paraId="10000268">
      <ns0:pPr>
        <ns0:numPr>
          <ns0:ilvl ns0:val="0"/>
          <ns0:numId ns0:val="7"/>
        </ns0:numPr>
        <ns0:ind ns0:left="360"/>
        <ns0:spacing ns0:before="0" ns0:after="0"/>
      </ns0:pPr>
      <ns0:r>
        <ns0:rPr>
          <ns0:b ns0:val="1"/>
          <ns0:bCs ns0:val="1"/>
          <ns0:rtl ns0:val="0"/>
        </ns0:rPr>
        <ns0:t xml:space="preserve">Development of the overall audit strategy setting scope, timing, and direction (ISA 300)</ns0:t>
      </ns0:r>
    </ns0:p>
    <ns0:p ns0:rsidR="00000000" ns0:rsidDel="00000000" ns0:rsidP="00000000" ns0:rsidRDefault="00000000" ns0:rsidRPr="00000000" ns1:paraId="10000269">
      <ns0:pPr>
        <ns0:numPr>
          <ns0:ilvl ns0:val="0"/>
          <ns0:numId ns0:val="7"/>
        </ns0:numPr>
        <ns0:ind ns0:left="360"/>
        <ns0:spacing ns0:before="0" ns0:after="0"/>
      </ns0:pPr>
      <ns0:r>
        <ns0:rPr>
          <ns0:b ns0:val="1"/>
          <ns0:bCs ns0:val="1"/>
          <ns0:rtl ns0:val="0"/>
        </ns0:rPr>
        <ns0:t xml:space="preserve">Documentation of the auditor’s understanding of the entity, its environment, and the financial reporting framework</ns0:t>
      </ns0:r>
    </ns0:p>
    <ns0:p ns0:rsidR="00000000" ns0:rsidDel="00000000" ns0:rsidP="00000000" ns0:rsidRDefault="00000000" ns0:rsidRPr="00000000" ns1:paraId="1000026A">
      <ns0:pPr>
        <ns0:numPr>
          <ns0:ilvl ns0:val="0"/>
          <ns0:numId ns0:val="7"/>
        </ns0:numPr>
        <ns0:ind ns0:left="360"/>
        <ns0:spacing ns0:before="0" ns0:after="0"/>
      </ns0:pPr>
      <ns0:r>
        <ns0:rPr>
          <ns0:b ns0:val="1"/>
          <ns0:bCs ns0:val="1"/>
          <ns0:rtl ns0:val="0"/>
        </ns0:rPr>
        <ns0:t xml:space="preserve">Materiality assessment and risk-based planning decisions that drive all subsequent audit procedures</ns0:t>
      </ns0:r>
    </ns0:p>
    <ns0:p ns0:rsidR="00000000" ns0:rsidDel="00000000" ns0:rsidP="00000000" ns0:rsidRDefault="00000000" ns0:rsidRPr="00000000" ns1:paraId="1000026B">
      <ns0:pPr>
        <ns0:rPr/>
      </ns0:pPr>
    </ns0:p>
    <ns0:p ns0:rsidR="00000000" ns1:paraId="00000009">
      <ns0:pPr>
        <ns0:spacing ns0:after="0" ns0:lineRule="auto"/>
        <ns0:rPr/>
      </ns0:pPr>
      <ns0:r>
        <ns0:rPr>
          <ns0:rFonts ns0:ascii="Pastiche Grotesque" ns0:hAnsi="Pastiche Grotesque" ns0:cs="Pastiche Grotesque" ns0:eastAsia="Pastiche Grotesque"/>
          <ns0:b ns0:val="1"/>
          <ns0:bCs ns0:val="1"/>
          <ns0:sz ns0:val="26"/>
          <ns0:szCs ns0:val="26"/>
          <ns0:u ns0:val="none"/>
          <ns0:rtl ns0:val="0"/>
        </ns0:rPr>
        <ns0:t xml:space="preserve">Document placement</ns0:t>
      </ns0:r>
    </ns0:p>
    <ns0:p ns0:rsidR="00000000" ns1:paraId="0000000A">
      <ns0:pPr>
        <ns0:rPr/>
      </ns0:pPr>
      <ns0:r>
        <ns0:rPr>
          <ns0:rtl ns0:val="0"/>
        </ns0:rPr>
        <ns0:t xml:space="preserve">Document 12.30 – Planning memorandum can be found in the Audit planning folder in the Caseware document manager.</ns0:t>
      </ns0:r>
    </ns0:p>
    <ns0:p ns0:rsidR="00AB0001" ns0:rsidRDefault="00AB0001">
      <ns0:pPr>
        <ns0:jc ns0:val="center"/>
        <ns0:rPr/>
      </ns0:pPr>
      <ns0:r>
        <ns0:rPr/>
        <ns0:drawing>
          <ns2:inline distT="0" distB="0" distL="0" distR="0">
            <ns2:extent cx="4572000" cy="2456003"/>
            <ns2:effectExtent l="0" t="0" r="0" b="0"/>
            <ns2:docPr id="901" name="Bookmark 12.30" descr="Bookmark placement for 12.30"/>
            <ns2:cNvGraphicFramePr>
              <ns3:graphicFrameLocks noChangeAspect="1"/>
            </ns2:cNvGraphicFramePr>
            <ns3:graphic>
              <ns3:graphicData uri="http://schemas.openxmlformats.org/drawingml/2006/picture">
                <ns4:pic>
                  <ns4:nvPicPr>
                    <ns4:cNvPr id="901" name="Bookmark 12.30" descr="Bookmark placement for 12.30"/>
                    <ns4:cNvPicPr/>
                  </ns4:nvPicPr>
                  <ns4:blipFill>
                    <ns3:blip ns5:embed="rId9"/>
                    <ns3:stretch>
                      <ns3:fillRect/>
                    </ns3:stretch>
                  </ns4:blipFill>
                  <ns4:spPr>
                    <ns3:xfrm>
                      <ns3:off x="0" y="0"/>
                      <ns3:ext cx="4572000" cy="2456003"/>
                    </ns3:xfrm>
                    <ns3:prstGeom prst="rect">
                      <ns3:avLst/>
                    </ns3:prstGeom>
                    <ns3:ln w="12700">
                      <ns3:solidFill>
                        <ns3:srgbClr val="000000"/>
                      </ns3:solidFill>
                    </ns3:ln>
                  </ns4:spPr>
                </ns4:pic>
              </ns3:graphicData>
            </ns3:graphic>
          </ns2:inline>
        </ns0:drawing>
      </ns0:r>
    </ns0:p>
    <ns0:p ns0:rsidR="00000000" ns1:paraId="0000000C">
      <ns0:pPr>
        <ns0:pStyle ns0:val="Heading1"/>
        <ns0:rPr/>
      </ns0:pPr>
      <ns0:bookmarkStart ns0:colFirst="0" ns0:colLast="0" ns0:name="_doc_content" ns0:id="2"/>
      <ns0:bookmarkEnd ns0:id="2"/>
      <ns0:r>
        <ns0:rPr>
          <ns0:rtl ns0:val="0"/>
        </ns0:rPr>
        <ns0:t xml:space="preserve">Document content</ns0:t>
      </ns0:r>
    </ns0:p>
    <ns0:p ns0:rsidR="00000000" ns1:paraId="0000000D">
      <ns0:pPr>
        <ns0:rPr/>
      </ns0:pPr>
      <ns0:r>
        <ns0:rPr>
          <ns0:rtl ns0:val="0"/>
        </ns0:rPr>
        <ns0:t xml:space="preserve">This document is designed to be a questionnaire and checklist type document with space for a comment or further description.</ns0:t>
      </ns0:r>
    </ns0:p>
    <ns0:p ns0:rsidR="00000000" ns1:paraId="0000000E">
      <ns0:pPr>
        <ns0:rPr/>
      </ns0:pPr>
      <ns0:r>
        <ns0:rPr>
          <ns0:rtl ns0:val="0"/>
        </ns0:rPr>
        <ns0:t xml:space="preserve">The document addresses the requirements of ISA 300 – Planning an Audit of Financial Statements and ISA 220 (Revised) – Quality Management for an Audit of Financial Statements. It covers the entity information, audit strategy, audit plan with assessed risk of material misstatement and audit strategy selections, planning meeting notes, other significant discussions, and the engagement partner declaration.</ns0:t>
      </ns0:r>
    </ns0:p>
    <ns0:p ns0:rsidR="00000000" ns1:paraId="0000000F">
      <ns0:pPr>
        <ns0:spacing ns0:before="200"/>
        <ns0:rPr/>
      </ns0:pPr>
      <ns0:r>
        <ns0:rPr>
          <ns0:rtl ns0:val="0"/>
        </ns0:rPr>
        <ns0:t xml:space="preserve">This document is divided into different bookmarks in the document map to assist you in documenting the planning memorandum:</ns0:t>
      </ns0:r>
    </ns0:p>
    <ns0:p ns0:rsidR="00000000" ns1:paraId="00000010">
      <ns0:pPr>
        <ns0:numPr>
          <ns0:ilvl ns0:val="0"/>
          <ns0:numId ns0:val="7"/>
        </ns0:numPr>
        <ns0:ind ns0:left="360"/>
        <ns0:spacing ns0:before="0" ns0:after="0"/>
      </ns0:pPr>
      <ns0:r>
        <ns0:rPr>
          <ns0:rtl ns0:val="0"/>
        </ns0:rPr>
        <ns0:t xml:space="preserve">Entity information</ns0:t>
      </ns0:r>
    </ns0:p>
    <ns0:p ns0:rsidR="00000000" ns1:paraId="00000011">
      <ns0:pPr>
        <ns0:numPr>
          <ns0:ilvl ns0:val="0"/>
          <ns0:numId ns0:val="7"/>
        </ns0:numPr>
        <ns0:ind ns0:left="360"/>
        <ns0:spacing ns0:before="0" ns0:after="0"/>
      </ns0:pPr>
      <ns0:r>
        <ns0:rPr>
          <ns0:rtl ns0:val="0"/>
        </ns0:rPr>
        <ns0:t xml:space="preserve">Audit strategy</ns0:t>
      </ns0:r>
    </ns0:p>
    <ns0:p ns0:rsidR="00000000" ns1:paraId="00000012">
      <ns0:pPr>
        <ns0:numPr>
          <ns0:ilvl ns0:val="0"/>
          <ns0:numId ns0:val="7"/>
        </ns0:numPr>
        <ns0:ind ns0:left="360"/>
        <ns0:spacing ns0:before="0" ns0:after="0"/>
      </ns0:pPr>
      <ns0:r>
        <ns0:rPr>
          <ns0:rtl ns0:val="0"/>
        </ns0:rPr>
        <ns0:t xml:space="preserve">Audit plan</ns0:t>
      </ns0:r>
    </ns0:p>
    <ns0:p ns0:rsidR="00000000" ns1:paraId="00000013">
      <ns0:pPr>
        <ns0:numPr>
          <ns0:ilvl ns0:val="0"/>
          <ns0:numId ns0:val="7"/>
        </ns0:numPr>
        <ns0:ind ns0:left="360"/>
        <ns0:spacing ns0:before="0" ns0:after="0"/>
      </ns0:pPr>
      <ns0:r>
        <ns0:rPr>
          <ns0:rtl ns0:val="0"/>
        </ns0:rPr>
        <ns0:t xml:space="preserve">Planning meeting notes</ns0:t>
      </ns0:r>
    </ns0:p>
    <ns0:p ns0:rsidR="00000000" ns1:paraId="00000014">
      <ns0:pPr>
        <ns0:numPr>
          <ns0:ilvl ns0:val="0"/>
          <ns0:numId ns0:val="7"/>
        </ns0:numPr>
        <ns0:ind ns0:left="360"/>
        <ns0:spacing ns0:before="0" ns0:after="0"/>
      </ns0:pPr>
      <ns0:r>
        <ns0:rPr>
          <ns0:rtl ns0:val="0"/>
        </ns0:rPr>
        <ns0:t xml:space="preserve">Other significant discussions</ns0:t>
      </ns0:r>
    </ns0:p>
    <ns0:p ns0:rsidR="00000000" ns1:paraId="00000015">
      <ns0:pPr>
        <ns0:numPr>
          <ns0:ilvl ns0:val="0"/>
          <ns0:numId ns0:val="7"/>
        </ns0:numPr>
        <ns0:ind ns0:left="360"/>
        <ns0:spacing ns0:before="0" ns0:after="0"/>
      </ns0:pPr>
      <ns0:r>
        <ns0:rPr>
          <ns0:rtl ns0:val="0"/>
        </ns0:rPr>
        <ns0:t xml:space="preserve">Engagement partner declaration</ns0:t>
      </ns0:r>
    </ns0:p>
    <ns0:p ns0:rsidR="00000000" ns1:paraId="00000016">
      <ns0:pPr>
        <ns0:numPr>
          <ns0:ilvl ns0:val="0"/>
          <ns0:numId ns0:val="7"/>
        </ns0:numPr>
        <ns0:ind ns0:left="360"/>
        <ns0:spacing ns0:before="0" ns0:after="0"/>
      </ns0:pPr>
      <ns0:r>
        <ns0:rPr>
          <ns0:rtl ns0:val="0"/>
        </ns0:rPr>
        <ns0:t xml:space="preserve">Engagement partner</ns0:t>
      </ns0:r>
    </ns0:p>
    <ns0:p ns0:rsidR="00000000" ns1:paraId="00000017">
      <ns0:pPr>
        <ns0:jc ns0:val="center"/>
        <ns0:rPr>
          <ns0:i ns0:val="1"/>
          <ns0:iCs ns0:val="1"/>
          <ns0:color ns0:val="808080"/>
        </ns0:rPr>
      </ns0:pPr>
      <ns0:r>
        <ns0:rPr>
          <ns0:i ns0:val="1"/>
          <ns0:iCs ns0:val="1"/>
          <ns0:color ns0:val="808080"/>
          <ns0:rtl ns0:val="0"/>
        </ns0:rPr>
        <ns0:t xml:space="preserve">[Screenshot: Document map]</ns0:t>
      </ns0:r>
    </ns0:p>
    <ns0:p ns0:rsidR="00000000" ns1:paraId="00000018">
      <ns0:pPr>
        <ns0:pStyle ns0:val="Heading1"/>
        <ns0:rPr/>
      </ns0:pPr>
      <ns0:bookmarkStart ns0:colFirst="0" ns0:colLast="0" ns0:name="_layout" ns0:id="3"/>
      <ns0:bookmarkEnd ns0:id="3"/>
      <ns0:r>
        <ns0:rPr>
          <ns0:rtl ns0:val="0"/>
        </ns0:rPr>
        <ns0:t xml:space="preserve">Layout</ns0:t>
      </ns0:r>
    </ns0:p>
    <ns0:tbl>
      <ns0:tblPr>
        <ns0:tblStyle ns0:val="TableGrid"/>
        <ns0:tblW ns0:w="10110" ns0:type="dxa"/>
        <ns0:tblBorders>
          <ns0:top ns0:val="single" ns0:color="auto" ns0:sz="8" ns0:space="0"/>
          <ns0:left ns0:val="single" ns0:color="auto" ns0:sz="8" ns0:space="0"/>
          <ns0:bottom ns0:val="single" ns0:color="auto" ns0:sz="8" ns0:space="0"/>
          <ns0:right ns0:val="single" ns0:color="auto" ns0:sz="8" ns0:space="0"/>
          <ns0:insideH ns0:val="single" ns0:color="auto" ns0:sz="8" ns0:space="0"/>
          <ns0:insideV ns0:val="single" ns0:color="auto" ns0:sz="8" ns0:space="0"/>
        </ns0:tblBorders>
        <ns0:tblLayout ns0:type="fixed"/>
      </ns0:tblPr>
      <ns0:tblGrid>
        <ns0:gridCol ns0:w="2580"/>
        <ns0:gridCol ns0:w="3645"/>
        <ns0:gridCol ns0:w="3885"/>
      </ns0:tblGrid>
      <ns0:tr ns0:rsidR="00000000" ns1:paraId="0000001C">
        <ns0:tc>
          <ns0:tcPr>
            <ns0:tcW ns0:w="2580" ns0:type="dxa"/>
          </ns0:tcPr>
          <ns0:p ns0:rsidR="00000000" ns1:paraId="00000019">
            <ns0:pPr>
              <ns0:rPr>
                <ns0:b ns0:val="1"/>
                <ns0:bCs ns0:val="1"/>
                <ns0:color ns0:val="FFFFFF"/>
              </ns0:rPr>
            </ns0:pPr>
            <ns0:r>
              <ns0:rPr>
                <ns0:b ns0:val="1"/>
                <ns0:bCs ns0:val="1"/>
              </ns0:rPr>
              <ns0:t xml:space="preserve">Column</ns0:t>
            </ns0:r>
          </ns0:p>
        </ns0:tc>
        <ns0:tc>
          <ns0:tcPr>
            <ns0:tcW ns0:w="3645" ns0:type="dxa"/>
          </ns0:tcPr>
          <ns0:p ns0:rsidR="00000000" ns1:paraId="0000001A">
            <ns0:pPr>
              <ns0:rPr>
                <ns0:b ns0:val="1"/>
                <ns0:bCs ns0:val="1"/>
                <ns0:color ns0:val="FFFFFF"/>
              </ns0:rPr>
            </ns0:pPr>
            <ns0:r>
              <ns0:rPr>
                <ns0:b ns0:val="1"/>
                <ns0:bCs ns0:val="1"/>
              </ns0:rPr>
              <ns0:t xml:space="preserve">Input Required</ns0:t>
            </ns0:r>
          </ns0:p>
        </ns0:tc>
        <ns0:tc>
          <ns0:tcPr>
            <ns0:tcW ns0:w="3885" ns0:type="dxa"/>
          </ns0:tcPr>
          <ns0:p ns0:rsidR="00000000" ns1:paraId="0000001B">
            <ns0:pPr>
              <ns0:rPr>
                <ns0:b ns0:val="1"/>
                <ns0:bCs ns0:val="1"/>
                <ns0:color ns0:val="FFFFFF"/>
              </ns0:rPr>
            </ns0:pPr>
            <ns0:r>
              <ns0:rPr>
                <ns0:b ns0:val="1"/>
                <ns0:bCs ns0:val="1"/>
              </ns0:rPr>
              <ns0:t xml:space="preserve">Outcome</ns0:t>
            </ns0:r>
          </ns0:p>
        </ns0:tc>
      </ns0:tr>
      <ns0:tr ns0:rsidR="00000000" ns1:paraId="0000001E">
        <ns0:tc>
          <ns0:tcPr>
            <ns0:tcW ns0:w="10110" ns0:type="dxa"/>
            <ns0:gridSpan ns0:val="3"/>
          </ns0:tcPr>
          <ns0:p ns0:rsidR="00000000" ns1:paraId="0000001D">
            <ns0:pPr>
              <ns0:jc ns0:val="center"/>
              <ns0:rPr>
                <ns0:b ns0:val="1"/>
                <ns0:bCs ns0:val="1"/>
                <ns0:color ns0:val="FFFFFF"/>
              </ns0:rPr>
            </ns0:pPr>
            <ns0:r>
              <ns0:rPr>
                <ns0:b ns0:val="1"/>
                <ns0:bCs ns0:val="1"/>
              </ns0:rPr>
              <ns0:t xml:space="preserve">Entity information</ns0:t>
            </ns0:r>
          </ns0:p>
        </ns0:tc>
      </ns0:tr>
      <ns0:tr ns0:rsidR="00000000" ns1:paraId="00000022">
        <ns0:tc>
          <ns0:tcPr>
            <ns0:tcW ns0:w="2580" ns0:type="dxa"/>
          </ns0:tcPr>
          <ns0:p ns0:rsidR="00000000" ns1:paraId="0000001F">
            <ns0:r>
              <ns0:rPr>
                <ns0:b ns0:val="1"/>
                <ns0:bCs ns0:val="1"/>
              </ns0:rPr>
              <ns0:t xml:space="preserve">Consideration</ns0:t>
            </ns0:r>
          </ns0:p>
        </ns0:tc>
        <ns0:tc>
          <ns0:tcPr>
            <ns0:tcW ns0:w="3645" ns0:type="dxa"/>
          </ns0:tcPr>
          <ns0:p ns0:rsidR="00000000" ns1:paraId="00000020">
            <ns0:r>
              <ns0:t xml:space="preserve">No input is required in this column. Read the consideration and matters listed.</ns0:t>
            </ns0:r>
          </ns0:p>
        </ns0:tc>
        <ns0:tc>
          <ns0:tcPr>
            <ns0:tcW ns0:w="3885" ns0:type="dxa"/>
          </ns0:tcPr>
          <ns0:p ns0:rsidR="00000000" ns1:paraId="00000021">
            <ns0:r>
              <ns0:t xml:space="preserve">No impact on the engagement file.</ns0:t>
            </ns0:r>
          </ns0:p>
        </ns0:tc>
      </ns0:tr>
      <ns0:tr ns0:rsidR="00000000" ns1:paraId="00000026">
        <ns0:tc>
          <ns0:tcPr>
            <ns0:tcW ns0:w="2580" ns0:type="dxa"/>
          </ns0:tcPr>
          <ns0:p ns0:rsidR="00000000" ns1:paraId="00000023">
            <ns0:r>
              <ns0:rPr>
                <ns0:b ns0:val="1"/>
                <ns0:bCs ns0:val="1"/>
              </ns0:rPr>
              <ns0:t xml:space="preserve">Detail</ns0:t>
            </ns0:r>
          </ns0:p>
        </ns0:tc>
        <ns0:tc>
          <ns0:tcPr>
            <ns0:tcW ns0:w="3645" ns0:type="dxa"/>
          </ns0:tcPr>
          <ns0:p ns0:rsidR="00000000" ns1:paraId="00000024">
            <ns0:r>
              <ns0:t xml:space="preserve">Provide details of the entity information as required by the consideration.</ns0:t>
            </ns0:r>
          </ns0:p>
        </ns0:tc>
        <ns0:tc>
          <ns0:tcPr>
            <ns0:tcW ns0:w="3885" ns0:type="dxa"/>
          </ns0:tcPr>
          <ns0:p ns0:rsidR="00000000" ns1:paraId="00000025">
            <ns0:r>
              <ns0:t xml:space="preserve">No impact on the engagement file.</ns0:t>
            </ns0:r>
          </ns0:p>
        </ns0:tc>
      </ns0:tr>
      <ns0:tr ns0:rsidR="00000000" ns1:paraId="0000002A">
        <ns0:tc>
          <ns0:tcPr>
            <ns0:tcW ns0:w="2580" ns0:type="dxa"/>
          </ns0:tcPr>
          <ns0:p ns0:rsidR="00000000" ns1:paraId="00000027">
            <ns0:r>
              <ns0:rPr>
                <ns0:b ns0:val="1"/>
                <ns0:bCs ns0:val="1"/>
              </ns0:rPr>
              <ns0:t xml:space="preserve">Risk</ns0:t>
            </ns0:r>
          </ns0:p>
        </ns0:tc>
        <ns0:tc>
          <ns0:tcPr>
            <ns0:tcW ns0:w="3645" ns0:type="dxa"/>
          </ns0:tcPr>
          <ns0:p ns0:rsidR="00000000" ns1:paraId="00000028">
            <ns0:r>
              <ns0:t xml:space="preserve">Record a risk or event by selecting the risk icon.</ns0:t>
            </ns0:r>
          </ns0:p>
        </ns0:tc>
        <ns0:tc>
          <ns0:tcPr>
            <ns0:tcW ns0:w="3885" ns0:type="dxa"/>
          </ns0:tcPr>
          <ns0:p ns0:rsidR="00000000" ns1:paraId="00000029">
            <ns0:r>
              <ns0:t xml:space="preserve">A risk or event will be recorded in the relevant risk table in the engagement file.</ns0:t>
            </ns0:r>
          </ns0:p>
        </ns0:tc>
      </ns0:tr>
      <ns0:tr ns0:rsidR="00000000" ns1:paraId="0000002E">
        <ns0:tc>
          <ns0:tcPr>
            <ns0:tcW ns0:w="2580" ns0:type="dxa"/>
          </ns0:tcPr>
          <ns0:p ns0:rsidR="00000000" ns1:paraId="0000002B">
            <ns0:r>
              <ns0:rPr>
                <ns0:b ns0:val="1"/>
                <ns0:bCs ns0:val="1"/>
              </ns0:rPr>
              <ns0:t xml:space="preserve">Ref.</ns0:t>
            </ns0:r>
          </ns0:p>
        </ns0:tc>
        <ns0:tc>
          <ns0:tcPr>
            <ns0:tcW ns0:w="3645" ns0:type="dxa"/>
          </ns0:tcPr>
          <ns0:p ns0:rsidR="00000000" ns1:paraId="0000002C">
            <ns0:r>
              <ns0:t xml:space="preserve">Record a reference to supporting documentation.</ns0:t>
            </ns0:r>
          </ns0:p>
        </ns0:tc>
        <ns0:tc>
          <ns0:tcPr>
            <ns0:tcW ns0:w="3885" ns0:type="dxa"/>
          </ns0:tcPr>
          <ns0:p ns0:rsidR="00000000" ns1:paraId="0000002D">
            <ns0:r>
              <ns0:t xml:space="preserve">No impact on the engagement file.</ns0:t>
            </ns0:r>
          </ns0:p>
        </ns0:tc>
      </ns0:tr>
      <ns0:tr ns0:rsidR="00000000" ns1:paraId="00000030">
        <ns0:tc>
          <ns0:tcPr>
            <ns0:tcW ns0:w="10110" ns0:type="dxa"/>
            <ns0:gridSpan ns0:val="3"/>
          </ns0:tcPr>
          <ns0:p ns0:rsidR="00000000" ns1:paraId="0000002F">
            <ns0:pPr>
              <ns0:jc ns0:val="center"/>
              <ns0:rPr>
                <ns0:b ns0:val="1"/>
                <ns0:bCs ns0:val="1"/>
                <ns0:color ns0:val="FFFFFF"/>
              </ns0:rPr>
            </ns0:pPr>
            <ns0:r>
              <ns0:rPr>
                <ns0:b ns0:val="1"/>
                <ns0:bCs ns0:val="1"/>
              </ns0:rPr>
              <ns0:t xml:space="preserve">Audit strategy</ns0:t>
            </ns0:r>
          </ns0:p>
        </ns0:tc>
      </ns0:tr>
      <ns0:tr ns0:rsidR="00000000" ns1:paraId="00000034">
        <ns0:tc>
          <ns0:tcPr>
            <ns0:tcW ns0:w="2580" ns0:type="dxa"/>
          </ns0:tcPr>
          <ns0:p ns0:rsidR="00000000" ns1:paraId="00000031">
            <ns0:r>
              <ns0:rPr>
                <ns0:b ns0:val="1"/>
                <ns0:bCs ns0:val="1"/>
              </ns0:rPr>
              <ns0:t xml:space="preserve">Consideration</ns0:t>
            </ns0:r>
          </ns0:p>
        </ns0:tc>
        <ns0:tc>
          <ns0:tcPr>
            <ns0:tcW ns0:w="3645" ns0:type="dxa"/>
          </ns0:tcPr>
          <ns0:p ns0:rsidR="00000000" ns1:paraId="00000032">
            <ns0:r>
              <ns0:t xml:space="preserve">No input is required in this column. Read the consideration and matters listed.</ns0:t>
            </ns0:r>
          </ns0:p>
        </ns0:tc>
        <ns0:tc>
          <ns0:tcPr>
            <ns0:tcW ns0:w="3885" ns0:type="dxa"/>
          </ns0:tcPr>
          <ns0:p ns0:rsidR="00000000" ns1:paraId="00000033">
            <ns0:r>
              <ns0:t xml:space="preserve">No impact on the engagement file.</ns0:t>
            </ns0:r>
          </ns0:p>
        </ns0:tc>
      </ns0:tr>
      <ns0:tr ns0:rsidR="00000000" ns1:paraId="00000038">
        <ns0:tc>
          <ns0:tcPr>
            <ns0:tcW ns0:w="2580" ns0:type="dxa"/>
          </ns0:tcPr>
          <ns0:p ns0:rsidR="00000000" ns1:paraId="00000035">
            <ns0:r>
              <ns0:rPr>
                <ns0:b ns0:val="1"/>
                <ns0:bCs ns0:val="1"/>
              </ns0:rPr>
              <ns0:t xml:space="preserve">Detail</ns0:t>
            </ns0:r>
          </ns0:p>
        </ns0:tc>
        <ns0:tc>
          <ns0:tcPr>
            <ns0:tcW ns0:w="3645" ns0:type="dxa"/>
          </ns0:tcPr>
          <ns0:p ns0:rsidR="00000000" ns1:paraId="00000036">
            <ns0:r>
              <ns0:t xml:space="preserve">Provide details of the audit strategy as required by the consideration.</ns0:t>
            </ns0:r>
          </ns0:p>
        </ns0:tc>
        <ns0:tc>
          <ns0:tcPr>
            <ns0:tcW ns0:w="3885" ns0:type="dxa"/>
          </ns0:tcPr>
          <ns0:p ns0:rsidR="00000000" ns1:paraId="00000037">
            <ns0:r>
              <ns0:t xml:space="preserve">No impact on the engagement file.</ns0:t>
            </ns0:r>
          </ns0:p>
        </ns0:tc>
      </ns0:tr>
      <ns0:tr ns0:rsidR="00000000" ns1:paraId="0000003C">
        <ns0:tc>
          <ns0:tcPr>
            <ns0:tcW ns0:w="2580" ns0:type="dxa"/>
          </ns0:tcPr>
          <ns0:p ns0:rsidR="00000000" ns1:paraId="00000039">
            <ns0:r>
              <ns0:rPr>
                <ns0:b ns0:val="1"/>
                <ns0:bCs ns0:val="1"/>
              </ns0:rPr>
              <ns0:t xml:space="preserve">Risk</ns0:t>
            </ns0:r>
          </ns0:p>
        </ns0:tc>
        <ns0:tc>
          <ns0:tcPr>
            <ns0:tcW ns0:w="3645" ns0:type="dxa"/>
          </ns0:tcPr>
          <ns0:p ns0:rsidR="00000000" ns1:paraId="0000003A">
            <ns0:r>
              <ns0:t xml:space="preserve">Record a risk or event by selecting the risk icon.</ns0:t>
            </ns0:r>
          </ns0:p>
        </ns0:tc>
        <ns0:tc>
          <ns0:tcPr>
            <ns0:tcW ns0:w="3885" ns0:type="dxa"/>
          </ns0:tcPr>
          <ns0:p ns0:rsidR="00000000" ns1:paraId="0000003B">
            <ns0:r>
              <ns0:t xml:space="preserve">A risk or event will be recorded in the relevant risk table in the engagement file.</ns0:t>
            </ns0:r>
          </ns0:p>
        </ns0:tc>
      </ns0:tr>
      <ns0:tr ns0:rsidR="00000000" ns1:paraId="00000040">
        <ns0:tc>
          <ns0:tcPr>
            <ns0:tcW ns0:w="2580" ns0:type="dxa"/>
          </ns0:tcPr>
          <ns0:p ns0:rsidR="00000000" ns1:paraId="0000003D">
            <ns0:r>
              <ns0:rPr>
                <ns0:b ns0:val="1"/>
                <ns0:bCs ns0:val="1"/>
              </ns0:rPr>
              <ns0:t xml:space="preserve">Ref.</ns0:t>
            </ns0:r>
          </ns0:p>
        </ns0:tc>
        <ns0:tc>
          <ns0:tcPr>
            <ns0:tcW ns0:w="3645" ns0:type="dxa"/>
          </ns0:tcPr>
          <ns0:p ns0:rsidR="00000000" ns1:paraId="0000003E">
            <ns0:r>
              <ns0:t xml:space="preserve">Record a reference to supporting documentation.</ns0:t>
            </ns0:r>
          </ns0:p>
        </ns0:tc>
        <ns0:tc>
          <ns0:tcPr>
            <ns0:tcW ns0:w="3885" ns0:type="dxa"/>
          </ns0:tcPr>
          <ns0:p ns0:rsidR="00000000" ns1:paraId="0000003F">
            <ns0:r>
              <ns0:t xml:space="preserve">No impact on the engagement file.</ns0:t>
            </ns0:r>
          </ns0:p>
        </ns0:tc>
      </ns0:tr>
      <ns0:tr ns0:rsidR="00000000" ns1:paraId="00000042">
        <ns0:tc>
          <ns0:tcPr>
            <ns0:tcW ns0:w="10110" ns0:type="dxa"/>
            <ns0:gridSpan ns0:val="3"/>
          </ns0:tcPr>
          <ns0:p ns0:rsidR="00000000" ns1:paraId="00000041">
            <ns0:pPr>
              <ns0:jc ns0:val="center"/>
              <ns0:rPr>
                <ns0:b ns0:val="1"/>
                <ns0:bCs ns0:val="1"/>
                <ns0:color ns0:val="FFFFFF"/>
              </ns0:rPr>
            </ns0:pPr>
            <ns0:r>
              <ns0:rPr>
                <ns0:b ns0:val="1"/>
                <ns0:bCs ns0:val="1"/>
              </ns0:rPr>
              <ns0:t xml:space="preserve">Audit plan</ns0:t>
            </ns0:r>
          </ns0:p>
        </ns0:tc>
      </ns0:tr>
      <ns0:tr ns0:rsidR="00000000" ns1:paraId="00000046">
        <ns0:tc>
          <ns0:tcPr>
            <ns0:tcW ns0:w="2580" ns0:type="dxa"/>
          </ns0:tcPr>
          <ns0:p ns0:rsidR="00000000" ns1:paraId="00000043">
            <ns0:r>
              <ns0:rPr>
                <ns0:b ns0:val="1"/>
                <ns0:bCs ns0:val="1"/>
              </ns0:rPr>
              <ns0:t xml:space="preserve">SCOTABD</ns0:t>
            </ns0:r>
          </ns0:p>
        </ns0:tc>
        <ns0:tc>
          <ns0:tcPr>
            <ns0:tcW ns0:w="3645" ns0:type="dxa"/>
          </ns0:tcPr>
          <ns0:p ns0:rsidR="00000000" ns1:paraId="00000044">
            <ns0:r>
              <ns0:t xml:space="preserve">No input is required in this column. The significant classes of transactions, account balances and disclosures are auto-populated from the risk assessment in document 11.20.</ns0:t>
            </ns0:r>
          </ns0:p>
        </ns0:tc>
        <ns0:tc>
          <ns0:tcPr>
            <ns0:tcW ns0:w="3885" ns0:type="dxa"/>
          </ns0:tcPr>
          <ns0:p ns0:rsidR="00000000" ns1:paraId="00000045">
            <ns0:r>
              <ns0:t xml:space="preserve">No impact on the engagement file.</ns0:t>
            </ns0:r>
          </ns0:p>
        </ns0:tc>
      </ns0:tr>
      <ns0:tr ns0:rsidR="00000000" ns1:paraId="0000004A">
        <ns0:tc>
          <ns0:tcPr>
            <ns0:tcW ns0:w="2580" ns0:type="dxa"/>
          </ns0:tcPr>
          <ns0:p ns0:rsidR="00000000" ns1:paraId="00000047">
            <ns0:r>
              <ns0:rPr>
                <ns0:b ns0:val="1"/>
                <ns0:bCs ns0:val="1"/>
              </ns0:rPr>
              <ns0:t xml:space="preserve">Assessed risk of material misstatement</ns0:t>
            </ns0:r>
          </ns0:p>
        </ns0:tc>
        <ns0:tc>
          <ns0:tcPr>
            <ns0:tcW ns0:w="3645" ns0:type="dxa"/>
          </ns0:tcPr>
          <ns0:p ns0:rsidR="00000000" ns1:paraId="00000048">
            <ns0:r>
              <ns0:t xml:space="preserve">No input required. The assessed risk levels per assertion (C, EO, RO, AVA, CO, PD) are auto-populated from document 11.20 – Inherent risk assessment.</ns0:t>
            </ns0:r>
          </ns0:p>
        </ns0:tc>
        <ns0:tc>
          <ns0:tcPr>
            <ns0:tcW ns0:w="3885" ns0:type="dxa"/>
          </ns0:tcPr>
          <ns0:p ns0:rsidR="00000000" ns1:paraId="00000049">
            <ns0:r>
              <ns0:t xml:space="preserve">No impact on the engagement file.</ns0:t>
            </ns0:r>
          </ns0:p>
        </ns0:tc>
      </ns0:tr>
      <ns0:tr ns0:rsidR="00000000" ns1:paraId="0000004E">
        <ns0:tc>
          <ns0:tcPr>
            <ns0:tcW ns0:w="2580" ns0:type="dxa"/>
          </ns0:tcPr>
          <ns0:p ns0:rsidR="00000000" ns1:paraId="0000004B">
            <ns0:r>
              <ns0:rPr>
                <ns0:b ns0:val="1"/>
                <ns0:bCs ns0:val="1"/>
              </ns0:rPr>
              <ns0:t xml:space="preserve">Audit strategy</ns0:t>
            </ns0:r>
          </ns0:p>
        </ns0:tc>
        <ns0:tc>
          <ns0:tcPr>
            <ns0:tcW ns0:w="3645" ns0:type="dxa"/>
          </ns0:tcPr>
          <ns0:p ns0:rsidR="00000000" ns1:paraId="0000004C">
            <ns0:r>
              <ns0:t xml:space="preserve">Select the applicable audit strategy tick boxes for each SCOTABD. The columns include significant risk response, test of controls, required procedures, extended analytical procedures, extended tests of detail, and substantive sampling.</ns0:t>
            </ns0:r>
          </ns0:p>
        </ns0:tc>
        <ns0:tc>
          <ns0:tcPr>
            <ns0:tcW ns0:w="3885" ns0:type="dxa"/>
          </ns0:tcPr>
          <ns0:p ns0:rsidR="00000000" ns1:paraId="0000004D">
            <ns0:r>
              <ns0:t xml:space="preserve">By selecting the audit strategy, the engagement file will be tailored and the relevant audit programs and procedures will be included in the engagement file.</ns0:t>
            </ns0:r>
          </ns0:p>
        </ns0:tc>
      </ns0:tr>
      <ns0:tr ns0:rsidR="00000000" ns1:paraId="00000052">
        <ns0:tc>
          <ns0:tcPr>
            <ns0:tcW ns0:w="2580" ns0:type="dxa"/>
          </ns0:tcPr>
          <ns0:p ns0:rsidR="00000000" ns1:paraId="0000004F">
            <ns0:r>
              <ns0:rPr>
                <ns0:b ns0:val="1"/>
                <ns0:bCs ns0:val="1"/>
              </ns0:rPr>
              <ns0:t xml:space="preserve">Consideration</ns0:t>
            </ns0:r>
          </ns0:p>
        </ns0:tc>
        <ns0:tc>
          <ns0:tcPr>
            <ns0:tcW ns0:w="3645" ns0:type="dxa"/>
          </ns0:tcPr>
          <ns0:p ns0:rsidR="00000000" ns1:paraId="00000050">
            <ns0:r>
              <ns0:t xml:space="preserve">No input is required in this column. Read the consideration for additional audit plan matters.</ns0:t>
            </ns0:r>
          </ns0:p>
        </ns0:tc>
        <ns0:tc>
          <ns0:tcPr>
            <ns0:tcW ns0:w="3885" ns0:type="dxa"/>
          </ns0:tcPr>
          <ns0:p ns0:rsidR="00000000" ns1:paraId="00000051">
            <ns0:r>
              <ns0:t xml:space="preserve">No impact on the engagement file.</ns0:t>
            </ns0:r>
          </ns0:p>
        </ns0:tc>
      </ns0:tr>
      <ns0:tr ns0:rsidR="00000000" ns1:paraId="00000056">
        <ns0:tc>
          <ns0:tcPr>
            <ns0:tcW ns0:w="2580" ns0:type="dxa"/>
          </ns0:tcPr>
          <ns0:p ns0:rsidR="00000000" ns1:paraId="00000053">
            <ns0:r>
              <ns0:rPr>
                <ns0:b ns0:val="1"/>
                <ns0:bCs ns0:val="1"/>
              </ns0:rPr>
              <ns0:t xml:space="preserve">Detail</ns0:t>
            </ns0:r>
          </ns0:p>
        </ns0:tc>
        <ns0:tc>
          <ns0:tcPr>
            <ns0:tcW ns0:w="3645" ns0:type="dxa"/>
          </ns0:tcPr>
          <ns0:p ns0:rsidR="00000000" ns1:paraId="00000054">
            <ns0:r>
              <ns0:t xml:space="preserve">Provide details of the audit plan consideration.</ns0:t>
            </ns0:r>
          </ns0:p>
        </ns0:tc>
        <ns0:tc>
          <ns0:tcPr>
            <ns0:tcW ns0:w="3885" ns0:type="dxa"/>
          </ns0:tcPr>
          <ns0:p ns0:rsidR="00000000" ns1:paraId="00000055">
            <ns0:r>
              <ns0:t xml:space="preserve">No impact on the engagement file.</ns0:t>
            </ns0:r>
          </ns0:p>
        </ns0:tc>
      </ns0:tr>
      <ns0:tr ns0:rsidR="00000000" ns1:paraId="0000005A">
        <ns0:tc>
          <ns0:tcPr>
            <ns0:tcW ns0:w="2580" ns0:type="dxa"/>
          </ns0:tcPr>
          <ns0:p ns0:rsidR="00000000" ns1:paraId="00000057">
            <ns0:r>
              <ns0:rPr>
                <ns0:b ns0:val="1"/>
                <ns0:bCs ns0:val="1"/>
              </ns0:rPr>
              <ns0:t xml:space="preserve">Risk</ns0:t>
            </ns0:r>
          </ns0:p>
        </ns0:tc>
        <ns0:tc>
          <ns0:tcPr>
            <ns0:tcW ns0:w="3645" ns0:type="dxa"/>
          </ns0:tcPr>
          <ns0:p ns0:rsidR="00000000" ns1:paraId="00000058">
            <ns0:r>
              <ns0:t xml:space="preserve">Record a risk or event by selecting the risk icon.</ns0:t>
            </ns0:r>
          </ns0:p>
        </ns0:tc>
        <ns0:tc>
          <ns0:tcPr>
            <ns0:tcW ns0:w="3885" ns0:type="dxa"/>
          </ns0:tcPr>
          <ns0:p ns0:rsidR="00000000" ns1:paraId="00000059">
            <ns0:r>
              <ns0:t xml:space="preserve">A risk or event will be recorded in the relevant risk table in the engagement file.</ns0:t>
            </ns0:r>
          </ns0:p>
        </ns0:tc>
      </ns0:tr>
      <ns0:tr ns0:rsidR="00000000" ns1:paraId="0000005E">
        <ns0:tc>
          <ns0:tcPr>
            <ns0:tcW ns0:w="2580" ns0:type="dxa"/>
          </ns0:tcPr>
          <ns0:p ns0:rsidR="00000000" ns1:paraId="0000005B">
            <ns0:r>
              <ns0:rPr>
                <ns0:b ns0:val="1"/>
                <ns0:bCs ns0:val="1"/>
              </ns0:rPr>
              <ns0:t xml:space="preserve">Ref.</ns0:t>
            </ns0:r>
          </ns0:p>
        </ns0:tc>
        <ns0:tc>
          <ns0:tcPr>
            <ns0:tcW ns0:w="3645" ns0:type="dxa"/>
          </ns0:tcPr>
          <ns0:p ns0:rsidR="00000000" ns1:paraId="0000005C">
            <ns0:r>
              <ns0:t xml:space="preserve">Record a reference to supporting documentation.</ns0:t>
            </ns0:r>
          </ns0:p>
        </ns0:tc>
        <ns0:tc>
          <ns0:tcPr>
            <ns0:tcW ns0:w="3885" ns0:type="dxa"/>
          </ns0:tcPr>
          <ns0:p ns0:rsidR="00000000" ns1:paraId="0000005D">
            <ns0:r>
              <ns0:t xml:space="preserve">No impact on the engagement file.</ns0:t>
            </ns0:r>
          </ns0:p>
        </ns0:tc>
      </ns0:tr>
      <ns0:tr ns0:rsidR="00000000" ns1:paraId="00000060">
        <ns0:tc>
          <ns0:tcPr>
            <ns0:tcW ns0:w="10110" ns0:type="dxa"/>
            <ns0:gridSpan ns0:val="3"/>
          </ns0:tcPr>
          <ns0:p ns0:rsidR="00000000" ns1:paraId="0000005F">
            <ns0:pPr>
              <ns0:jc ns0:val="center"/>
              <ns0:rPr>
                <ns0:b ns0:val="1"/>
                <ns0:bCs ns0:val="1"/>
                <ns0:color ns0:val="FFFFFF"/>
              </ns0:rPr>
            </ns0:pPr>
            <ns0:r>
              <ns0:rPr>
                <ns0:b ns0:val="1"/>
                <ns0:bCs ns0:val="1"/>
              </ns0:rPr>
              <ns0:t xml:space="preserve">Planning meeting notes</ns0:t>
            </ns0:r>
          </ns0:p>
        </ns0:tc>
      </ns0:tr>
      <ns0:tr ns0:rsidR="00000000" ns1:paraId="00000064">
        <ns0:tc>
          <ns0:tcPr>
            <ns0:tcW ns0:w="2580" ns0:type="dxa"/>
          </ns0:tcPr>
          <ns0:p ns0:rsidR="00000000" ns1:paraId="00000061">
            <ns0:r>
              <ns0:rPr>
                <ns0:b ns0:val="1"/>
                <ns0:bCs ns0:val="1"/>
              </ns0:rPr>
              <ns0:t xml:space="preserve">Consideration</ns0:t>
            </ns0:r>
          </ns0:p>
        </ns0:tc>
        <ns0:tc>
          <ns0:tcPr>
            <ns0:tcW ns0:w="3645" ns0:type="dxa"/>
          </ns0:tcPr>
          <ns0:p ns0:rsidR="00000000" ns1:paraId="00000062">
            <ns0:r>
              <ns0:t xml:space="preserve">No input is required in this column. Read the consideration and matters listed.</ns0:t>
            </ns0:r>
          </ns0:p>
        </ns0:tc>
        <ns0:tc>
          <ns0:tcPr>
            <ns0:tcW ns0:w="3885" ns0:type="dxa"/>
          </ns0:tcPr>
          <ns0:p ns0:rsidR="00000000" ns1:paraId="00000063">
            <ns0:r>
              <ns0:t xml:space="preserve">No impact on the engagement file.</ns0:t>
            </ns0:r>
          </ns0:p>
        </ns0:tc>
      </ns0:tr>
      <ns0:tr ns0:rsidR="00000000" ns1:paraId="00000068">
        <ns0:tc>
          <ns0:tcPr>
            <ns0:tcW ns0:w="2580" ns0:type="dxa"/>
          </ns0:tcPr>
          <ns0:p ns0:rsidR="00000000" ns1:paraId="00000065">
            <ns0:r>
              <ns0:rPr>
                <ns0:b ns0:val="1"/>
                <ns0:bCs ns0:val="1"/>
              </ns0:rPr>
              <ns0:t xml:space="preserve">Detail</ns0:t>
            </ns0:r>
          </ns0:p>
        </ns0:tc>
        <ns0:tc>
          <ns0:tcPr>
            <ns0:tcW ns0:w="3645" ns0:type="dxa"/>
          </ns0:tcPr>
          <ns0:p ns0:rsidR="00000000" ns1:paraId="00000066">
            <ns0:r>
              <ns0:t xml:space="preserve">Provide details of the planning meeting discussions and outcomes.</ns0:t>
            </ns0:r>
          </ns0:p>
        </ns0:tc>
        <ns0:tc>
          <ns0:tcPr>
            <ns0:tcW ns0:w="3885" ns0:type="dxa"/>
          </ns0:tcPr>
          <ns0:p ns0:rsidR="00000000" ns1:paraId="00000067">
            <ns0:r>
              <ns0:t xml:space="preserve">No impact on the engagement file.</ns0:t>
            </ns0:r>
          </ns0:p>
        </ns0:tc>
      </ns0:tr>
      <ns0:tr ns0:rsidR="00000000" ns1:paraId="0000006C">
        <ns0:tc>
          <ns0:tcPr>
            <ns0:tcW ns0:w="2580" ns0:type="dxa"/>
          </ns0:tcPr>
          <ns0:p ns0:rsidR="00000000" ns1:paraId="00000069">
            <ns0:r>
              <ns0:rPr>
                <ns0:b ns0:val="1"/>
                <ns0:bCs ns0:val="1"/>
              </ns0:rPr>
              <ns0:t xml:space="preserve">Risk</ns0:t>
            </ns0:r>
          </ns0:p>
        </ns0:tc>
        <ns0:tc>
          <ns0:tcPr>
            <ns0:tcW ns0:w="3645" ns0:type="dxa"/>
          </ns0:tcPr>
          <ns0:p ns0:rsidR="00000000" ns1:paraId="0000006A">
            <ns0:r>
              <ns0:t xml:space="preserve">Record a risk or event by selecting the risk icon.</ns0:t>
            </ns0:r>
          </ns0:p>
        </ns0:tc>
        <ns0:tc>
          <ns0:tcPr>
            <ns0:tcW ns0:w="3885" ns0:type="dxa"/>
          </ns0:tcPr>
          <ns0:p ns0:rsidR="00000000" ns1:paraId="0000006B">
            <ns0:r>
              <ns0:t xml:space="preserve">A risk or event will be recorded in the relevant risk table in the engagement file.</ns0:t>
            </ns0:r>
          </ns0:p>
        </ns0:tc>
      </ns0:tr>
      <ns0:tr ns0:rsidR="00000000" ns1:paraId="00000070">
        <ns0:tc>
          <ns0:tcPr>
            <ns0:tcW ns0:w="2580" ns0:type="dxa"/>
          </ns0:tcPr>
          <ns0:p ns0:rsidR="00000000" ns1:paraId="0000006D">
            <ns0:r>
              <ns0:rPr>
                <ns0:b ns0:val="1"/>
                <ns0:bCs ns0:val="1"/>
              </ns0:rPr>
              <ns0:t xml:space="preserve">Ref.</ns0:t>
            </ns0:r>
          </ns0:p>
        </ns0:tc>
        <ns0:tc>
          <ns0:tcPr>
            <ns0:tcW ns0:w="3645" ns0:type="dxa"/>
          </ns0:tcPr>
          <ns0:p ns0:rsidR="00000000" ns1:paraId="0000006E">
            <ns0:r>
              <ns0:t xml:space="preserve">Record a reference to supporting documentation.</ns0:t>
            </ns0:r>
          </ns0:p>
        </ns0:tc>
        <ns0:tc>
          <ns0:tcPr>
            <ns0:tcW ns0:w="3885" ns0:type="dxa"/>
          </ns0:tcPr>
          <ns0:p ns0:rsidR="00000000" ns1:paraId="0000006F">
            <ns0:r>
              <ns0:t xml:space="preserve">No impact on the engagement file.</ns0:t>
            </ns0:r>
          </ns0:p>
        </ns0:tc>
      </ns0:tr>
      <ns0:tr ns0:rsidR="00000000" ns1:paraId="00000072">
        <ns0:tc>
          <ns0:tcPr>
            <ns0:tcW ns0:w="10110" ns0:type="dxa"/>
            <ns0:gridSpan ns0:val="3"/>
          </ns0:tcPr>
          <ns0:p ns0:rsidR="00000000" ns1:paraId="00000071">
            <ns0:pPr>
              <ns0:jc ns0:val="center"/>
              <ns0:rPr>
                <ns0:b ns0:val="1"/>
                <ns0:bCs ns0:val="1"/>
                <ns0:color ns0:val="FFFFFF"/>
              </ns0:rPr>
            </ns0:pPr>
            <ns0:r>
              <ns0:rPr>
                <ns0:b ns0:val="1"/>
                <ns0:bCs ns0:val="1"/>
              </ns0:rPr>
              <ns0:t xml:space="preserve">Other significant discussions</ns0:t>
            </ns0:r>
          </ns0:p>
        </ns0:tc>
      </ns0:tr>
      <ns0:tr ns0:rsidR="00000000" ns1:paraId="00000076">
        <ns0:tc>
          <ns0:tcPr>
            <ns0:tcW ns0:w="2580" ns0:type="dxa"/>
          </ns0:tcPr>
          <ns0:p ns0:rsidR="00000000" ns1:paraId="00000073">
            <ns0:r>
              <ns0:rPr>
                <ns0:b ns0:val="1"/>
                <ns0:bCs ns0:val="1"/>
              </ns0:rPr>
              <ns0:t xml:space="preserve">Consideration</ns0:t>
            </ns0:r>
          </ns0:p>
        </ns0:tc>
        <ns0:tc>
          <ns0:tcPr>
            <ns0:tcW ns0:w="3645" ns0:type="dxa"/>
          </ns0:tcPr>
          <ns0:p ns0:rsidR="00000000" ns1:paraId="00000074">
            <ns0:r>
              <ns0:t xml:space="preserve">No input is required in this column. Read the consideration and matters listed.</ns0:t>
            </ns0:r>
          </ns0:p>
        </ns0:tc>
        <ns0:tc>
          <ns0:tcPr>
            <ns0:tcW ns0:w="3885" ns0:type="dxa"/>
          </ns0:tcPr>
          <ns0:p ns0:rsidR="00000000" ns1:paraId="00000075">
            <ns0:r>
              <ns0:t xml:space="preserve">No impact on the engagement file.</ns0:t>
            </ns0:r>
          </ns0:p>
        </ns0:tc>
      </ns0:tr>
      <ns0:tr ns0:rsidR="00000000" ns1:paraId="0000007A">
        <ns0:tc>
          <ns0:tcPr>
            <ns0:tcW ns0:w="2580" ns0:type="dxa"/>
          </ns0:tcPr>
          <ns0:p ns0:rsidR="00000000" ns1:paraId="00000077">
            <ns0:r>
              <ns0:rPr>
                <ns0:b ns0:val="1"/>
                <ns0:bCs ns0:val="1"/>
              </ns0:rPr>
              <ns0:t xml:space="preserve">Detail</ns0:t>
            </ns0:r>
          </ns0:p>
        </ns0:tc>
        <ns0:tc>
          <ns0:tcPr>
            <ns0:tcW ns0:w="3645" ns0:type="dxa"/>
          </ns0:tcPr>
          <ns0:p ns0:rsidR="00000000" ns1:paraId="00000078">
            <ns0:r>
              <ns0:t xml:space="preserve">Provide details of the significant discussions as required by the consideration.</ns0:t>
            </ns0:r>
          </ns0:p>
        </ns0:tc>
        <ns0:tc>
          <ns0:tcPr>
            <ns0:tcW ns0:w="3885" ns0:type="dxa"/>
          </ns0:tcPr>
          <ns0:p ns0:rsidR="00000000" ns1:paraId="00000079">
            <ns0:r>
              <ns0:t xml:space="preserve">No impact on the engagement file.</ns0:t>
            </ns0:r>
          </ns0:p>
        </ns0:tc>
      </ns0:tr>
      <ns0:tr ns0:rsidR="00000000" ns1:paraId="0000007E">
        <ns0:tc>
          <ns0:tcPr>
            <ns0:tcW ns0:w="2580" ns0:type="dxa"/>
          </ns0:tcPr>
          <ns0:p ns0:rsidR="00000000" ns1:paraId="0000007B">
            <ns0:r>
              <ns0:rPr>
                <ns0:b ns0:val="1"/>
                <ns0:bCs ns0:val="1"/>
              </ns0:rPr>
              <ns0:t xml:space="preserve">Risk</ns0:t>
            </ns0:r>
          </ns0:p>
        </ns0:tc>
        <ns0:tc>
          <ns0:tcPr>
            <ns0:tcW ns0:w="3645" ns0:type="dxa"/>
          </ns0:tcPr>
          <ns0:p ns0:rsidR="00000000" ns1:paraId="0000007C">
            <ns0:r>
              <ns0:t xml:space="preserve">Record a risk or event by selecting the risk icon.</ns0:t>
            </ns0:r>
          </ns0:p>
        </ns0:tc>
        <ns0:tc>
          <ns0:tcPr>
            <ns0:tcW ns0:w="3885" ns0:type="dxa"/>
          </ns0:tcPr>
          <ns0:p ns0:rsidR="00000000" ns1:paraId="0000007D">
            <ns0:r>
              <ns0:t xml:space="preserve">A risk or event will be recorded in the relevant risk table in the engagement file.</ns0:t>
            </ns0:r>
          </ns0:p>
        </ns0:tc>
      </ns0:tr>
      <ns0:tr ns0:rsidR="00000000" ns1:paraId="00000082">
        <ns0:tc>
          <ns0:tcPr>
            <ns0:tcW ns0:w="2580" ns0:type="dxa"/>
          </ns0:tcPr>
          <ns0:p ns0:rsidR="00000000" ns1:paraId="0000007F">
            <ns0:r>
              <ns0:rPr>
                <ns0:b ns0:val="1"/>
                <ns0:bCs ns0:val="1"/>
              </ns0:rPr>
              <ns0:t xml:space="preserve">Ref.</ns0:t>
            </ns0:r>
          </ns0:p>
        </ns0:tc>
        <ns0:tc>
          <ns0:tcPr>
            <ns0:tcW ns0:w="3645" ns0:type="dxa"/>
          </ns0:tcPr>
          <ns0:p ns0:rsidR="00000000" ns1:paraId="00000080">
            <ns0:r>
              <ns0:t xml:space="preserve">Record a reference to supporting documentation.</ns0:t>
            </ns0:r>
          </ns0:p>
        </ns0:tc>
        <ns0:tc>
          <ns0:tcPr>
            <ns0:tcW ns0:w="3885" ns0:type="dxa"/>
          </ns0:tcPr>
          <ns0:p ns0:rsidR="00000000" ns1:paraId="00000081">
            <ns0:r>
              <ns0:t xml:space="preserve">No impact on the engagement file.</ns0:t>
            </ns0:r>
          </ns0:p>
        </ns0:tc>
      </ns0:tr>
      <ns0:tr ns0:rsidR="00000000" ns1:paraId="00000084">
        <ns0:tc>
          <ns0:tcPr>
            <ns0:tcW ns0:w="10110" ns0:type="dxa"/>
            <ns0:gridSpan ns0:val="3"/>
          </ns0:tcPr>
          <ns0:p ns0:rsidR="00000000" ns1:paraId="00000083">
            <ns0:pPr>
              <ns0:jc ns0:val="center"/>
              <ns0:rPr>
                <ns0:b ns0:val="1"/>
                <ns0:bCs ns0:val="1"/>
                <ns0:color ns0:val="FFFFFF"/>
              </ns0:rPr>
            </ns0:pPr>
            <ns0:r>
              <ns0:rPr>
                <ns0:b ns0:val="1"/>
                <ns0:bCs ns0:val="1"/>
              </ns0:rPr>
              <ns0:t xml:space="preserve">Engagement partner declaration</ns0:t>
            </ns0:r>
          </ns0:p>
        </ns0:tc>
      </ns0:tr>
      <ns0:tr ns0:rsidR="00000000" ns1:paraId="00000088">
        <ns0:tc>
          <ns0:tcPr>
            <ns0:tcW ns0:w="2580" ns0:type="dxa"/>
          </ns0:tcPr>
          <ns0:p ns0:rsidR="00000000" ns1:paraId="00000085">
            <ns0:r>
              <ns0:rPr>
                <ns0:b ns0:val="1"/>
                <ns0:bCs ns0:val="1"/>
              </ns0:rPr>
              <ns0:t xml:space="preserve">Question</ns0:t>
            </ns0:r>
          </ns0:p>
        </ns0:tc>
        <ns0:tc>
          <ns0:tcPr>
            <ns0:tcW ns0:w="3645" ns0:type="dxa"/>
          </ns0:tcPr>
          <ns0:p ns0:rsidR="00000000" ns1:paraId="00000086">
            <ns0:r>
              <ns0:t xml:space="preserve">No input is required in this column. Read the declaration question.</ns0:t>
            </ns0:r>
          </ns0:p>
        </ns0:tc>
        <ns0:tc>
          <ns0:tcPr>
            <ns0:tcW ns0:w="3885" ns0:type="dxa"/>
          </ns0:tcPr>
          <ns0:p ns0:rsidR="00000000" ns1:paraId="00000087">
            <ns0:r>
              <ns0:t xml:space="preserve">No impact on the engagement file.</ns0:t>
            </ns0:r>
          </ns0:p>
        </ns0:tc>
      </ns0:tr>
      <ns0:tr ns0:rsidR="00000000" ns1:paraId="0000008C">
        <ns0:tc>
          <ns0:tcPr>
            <ns0:tcW ns0:w="2580" ns0:type="dxa"/>
          </ns0:tcPr>
          <ns0:p ns0:rsidR="00000000" ns1:paraId="00000089">
            <ns0:r>
              <ns0:rPr>
                <ns0:b ns0:val="1"/>
                <ns0:bCs ns0:val="1"/>
              </ns0:rPr>
              <ns0:t xml:space="preserve">Ref.</ns0:t>
            </ns0:r>
          </ns0:p>
        </ns0:tc>
        <ns0:tc>
          <ns0:tcPr>
            <ns0:tcW ns0:w="3645" ns0:type="dxa"/>
          </ns0:tcPr>
          <ns0:p ns0:rsidR="00000000" ns1:paraId="0000008A">
            <ns0:r>
              <ns0:t xml:space="preserve">Cross-references are auto-populated where applicable.</ns0:t>
            </ns0:r>
          </ns0:p>
        </ns0:tc>
        <ns0:tc>
          <ns0:tcPr>
            <ns0:tcW ns0:w="3885" ns0:type="dxa"/>
          </ns0:tcPr>
          <ns0:p ns0:rsidR="00000000" ns1:paraId="0000008B">
            <ns0:r>
              <ns0:t xml:space="preserve">No impact on the engagement file.</ns0:t>
            </ns0:r>
          </ns0:p>
        </ns0:tc>
      </ns0:tr>
      <ns0:tr ns0:rsidR="00000000" ns1:paraId="00000090">
        <ns0:tc>
          <ns0:tcPr>
            <ns0:tcW ns0:w="2580" ns0:type="dxa"/>
          </ns0:tcPr>
          <ns0:p ns0:rsidR="00000000" ns1:paraId="0000008D">
            <ns0:r>
              <ns0:rPr>
                <ns0:b ns0:val="1"/>
                <ns0:bCs ns0:val="1"/>
              </ns0:rPr>
              <ns0:t xml:space="preserve">Detail</ns0:t>
            </ns0:r>
          </ns0:p>
        </ns0:tc>
        <ns0:tc>
          <ns0:tcPr>
            <ns0:tcW ns0:w="3645" ns0:type="dxa"/>
          </ns0:tcPr>
          <ns0:p ns0:rsidR="00000000" ns1:paraId="0000008E">
            <ns0:r>
              <ns0:t xml:space="preserve">Provide details supporting the answer to the declaration question.</ns0:t>
            </ns0:r>
          </ns0:p>
        </ns0:tc>
        <ns0:tc>
          <ns0:tcPr>
            <ns0:tcW ns0:w="3885" ns0:type="dxa"/>
          </ns0:tcPr>
          <ns0:p ns0:rsidR="00000000" ns1:paraId="0000008F">
            <ns0:r>
              <ns0:t xml:space="preserve">No impact on the engagement file.</ns0:t>
            </ns0:r>
          </ns0:p>
        </ns0:tc>
      </ns0:tr>
      <ns0:tr ns0:rsidR="00000000" ns1:paraId="00000094">
        <ns0:tc>
          <ns0:tcPr>
            <ns0:tcW ns0:w="2580" ns0:type="dxa"/>
          </ns0:tcPr>
          <ns0:p ns0:rsidR="00000000" ns1:paraId="00000091">
            <ns0:r>
              <ns0:rPr>
                <ns0:b ns0:val="1"/>
                <ns0:bCs ns0:val="1"/>
              </ns0:rPr>
              <ns0:t xml:space="preserve">Yes / No</ns0:t>
            </ns0:r>
          </ns0:p>
        </ns0:tc>
        <ns0:tc>
          <ns0:tcPr>
            <ns0:tcW ns0:w="3645" ns0:type="dxa"/>
          </ns0:tcPr>
          <ns0:p ns0:rsidR="00000000" ns1:paraId="00000092">
            <ns0:r>
              <ns0:t xml:space="preserve">Select Yes or No to the declaration question.</ns0:t>
            </ns0:r>
          </ns0:p>
        </ns0:tc>
        <ns0:tc>
          <ns0:tcPr>
            <ns0:tcW ns0:w="3885" ns0:type="dxa"/>
          </ns0:tcPr>
          <ns0:p ns0:rsidR="00000000" ns1:paraId="00000093">
            <ns0:r>
              <ns0:t xml:space="preserve">No impact on the engagement file.</ns0:t>
            </ns0:r>
          </ns0:p>
        </ns0:tc>
      </ns0:tr>
      <ns0:tr ns0:rsidR="00000000" ns1:paraId="00000096">
        <ns0:tc>
          <ns0:tcPr>
            <ns0:tcW ns0:w="10110" ns0:type="dxa"/>
            <ns0:gridSpan ns0:val="3"/>
          </ns0:tcPr>
          <ns0:p ns0:rsidR="00000000" ns1:paraId="00000095">
            <ns0:pPr>
              <ns0:jc ns0:val="center"/>
              <ns0:rPr>
                <ns0:b ns0:val="1"/>
                <ns0:bCs ns0:val="1"/>
                <ns0:color ns0:val="FFFFFF"/>
              </ns0:rPr>
            </ns0:pPr>
            <ns0:r>
              <ns0:rPr>
                <ns0:b ns0:val="1"/>
                <ns0:bCs ns0:val="1"/>
              </ns0:rPr>
              <ns0:t xml:space="preserve">Engagement partner</ns0:t>
            </ns0:r>
          </ns0:p>
        </ns0:tc>
      </ns0:tr>
      <ns0:tr ns0:rsidR="00000000" ns1:paraId="0000009A">
        <ns0:tc>
          <ns0:tcPr>
            <ns0:tcW ns0:w="2580" ns0:type="dxa"/>
          </ns0:tcPr>
          <ns0:p ns0:rsidR="00000000" ns1:paraId="00000097">
            <ns0:r>
              <ns0:rPr>
                <ns0:b ns0:val="1"/>
                <ns0:bCs ns0:val="1"/>
              </ns0:rPr>
              <ns0:t xml:space="preserve">Engagement partner sign-off</ns0:t>
            </ns0:r>
          </ns0:p>
        </ns0:tc>
        <ns0:tc>
          <ns0:tcPr>
            <ns0:tcW ns0:w="3645" ns0:type="dxa"/>
          </ns0:tcPr>
          <ns0:p ns0:rsidR="00000000" ns1:paraId="00000098">
            <ns0:r>
              <ns0:t xml:space="preserve">Complete the engagement partner sign-off with a comment, name, signature and date.</ns0:t>
            </ns0:r>
          </ns0:p>
        </ns0:tc>
        <ns0:tc>
          <ns0:tcPr>
            <ns0:tcW ns0:w="3885" ns0:type="dxa"/>
          </ns0:tcPr>
          <ns0:p ns0:rsidR="00000000" ns1:paraId="00000099">
            <ns0:r>
              <ns0:t xml:space="preserve">No impact on the engagement file.</ns0:t>
            </ns0:r>
          </ns0:p>
        </ns0:tc>
      </ns0:tr>
    </ns0:tbl>
    <ns0:p ns0:rsidR="00000000" ns0:rsidDel="00000000" ns0:rsidP="00000000" ns0:rsidRDefault="00000000" ns0:rsidRPr="00000000" ns1:paraId="10000012">
      <ns0:pPr>
        <ns0:rPr/>
      </ns0:pPr>
      <ns0:r>
        <ns0:pict>
          <ns6:rect style="width:0.0pt;height:1.5pt" ns7:hr="t" ns7:hrstd="t" ns7:hralign="center" fillcolor="#A0A0A0" stroked="f"/>
        </ns0:pict>
      </ns0:r>
    </ns0:p>
    <ns0:p ns0:rsidR="00000000" ns1:paraId="0000009C">
      <ns0:pPr>
        <ns0:pStyle ns0:val="Heading1"/>
        <ns0:rPr/>
      </ns0:pPr>
      <ns0:bookmarkStart ns0:colFirst="0" ns0:colLast="0" ns0:name="_doc_outcomes" ns0:id="4"/>
      <ns0:bookmarkEnd ns0:id="4"/>
      <ns0:r>
        <ns0:rPr>
          <ns0:rtl ns0:val="0"/>
        </ns0:rPr>
        <ns0:t xml:space="preserve">Document outcomes</ns0:t>
      </ns0:r>
    </ns0:p>
    <ns0:p ns0:rsidR="00000000" ns1:paraId="0000009D">
      <ns0:pPr>
        <ns0:pStyle ns0:val="Heading2"/>
        <ns0:spacing ns0:after="120" ns0:before="120" ns0:line="240" ns0:lineRule="auto"/>
        <ns0:rPr>
          <ns0:rFonts ns0:ascii="Switzer" ns0:hAnsi="Switzer" ns0:cs="Switzer" ns0:eastAsia="Switzer"/>
          <ns0:b ns0:val="0"/>
          <ns0:bCs ns0:val="0"/>
          <ns0:color ns0:val="51626f"/>
          <ns0:sz ns0:val="20"/>
          <ns0:szCs ns0:val="20"/>
        </ns0:rPr>
      </ns0:pPr>
      <ns0:r>
        <ns0:rPr>
          <ns0:rFonts ns0:ascii="Switzer" ns0:hAnsi="Switzer" ns0:cs="Switzer" ns0:eastAsia="Switzer"/>
          <ns0:b ns0:val="0"/>
          <ns0:bCs ns0:val="0"/>
          <ns0:color ns0:val="51626f"/>
          <ns0:sz ns0:val="20"/>
          <ns0:szCs ns0:val="20"/>
          <ns0:rtl ns0:val="0"/>
        </ns0:rPr>
        <ns0:t xml:space="preserve">The entity information section must be completed to document the nature of the business, history, specific business risks, significant events, related party relationships, key contacts, and applicable laws and regulations.</ns0:t>
      </ns0:r>
    </ns0:p>
    <ns0:p ns0:rsidR="00000000" ns1:paraId="0000009E">
      <ns0:pPr>
        <ns0:pStyle ns0:val="Heading2"/>
        <ns0:spacing ns0:after="120" ns0:before="120" ns0:line="240" ns0:lineRule="auto"/>
        <ns0:rPr>
          <ns0:rFonts ns0:ascii="Switzer" ns0:hAnsi="Switzer" ns0:cs="Switzer" ns0:eastAsia="Switzer"/>
          <ns0:b ns0:val="0"/>
          <ns0:bCs ns0:val="0"/>
          <ns0:color ns0:val="51626f"/>
          <ns0:sz ns0:val="20"/>
          <ns0:szCs ns0:val="20"/>
        </ns0:rPr>
      </ns0:pPr>
      <ns0:r>
        <ns0:rPr>
          <ns0:rFonts ns0:ascii="Switzer" ns0:hAnsi="Switzer" ns0:cs="Switzer" ns0:eastAsia="Switzer"/>
          <ns0:b ns0:val="0"/>
          <ns0:bCs ns0:val="0"/>
          <ns0:color ns0:val="51626f"/>
          <ns0:sz ns0:val="20"/>
          <ns0:szCs ns0:val="20"/>
          <ns0:rtl ns0:val="0"/>
        </ns0:rPr>
        <ns0:t xml:space="preserve">The audit strategy section must be completed to document the characteristics and scope of the engagement, reporting objectives, results of preliminary engagement activities, and resources necessary to perform the engagement.</ns0:t>
      </ns0:r>
    </ns0:p>
    <ns0:p ns0:rsidR="00000000" ns1:paraId="0000009F">
      <ns0:pPr>
        <ns0:pStyle ns0:val="Heading2"/>
        <ns0:spacing ns0:after="120" ns0:before="120" ns0:line="240" ns0:lineRule="auto"/>
        <ns0:rPr>
          <ns0:rFonts ns0:ascii="Switzer" ns0:hAnsi="Switzer" ns0:cs="Switzer" ns0:eastAsia="Switzer"/>
          <ns0:b ns0:val="0"/>
          <ns0:bCs ns0:val="0"/>
          <ns0:color ns0:val="51626f"/>
          <ns0:sz ns0:val="20"/>
          <ns0:szCs ns0:val="20"/>
        </ns0:rPr>
      </ns0:pPr>
      <ns0:r>
        <ns0:rPr>
          <ns0:rFonts ns0:ascii="Switzer" ns0:hAnsi="Switzer" ns0:cs="Switzer" ns0:eastAsia="Switzer"/>
          <ns0:b ns0:val="0"/>
          <ns0:bCs ns0:val="0"/>
          <ns0:color ns0:val="51626f"/>
          <ns0:sz ns0:val="20"/>
          <ns0:szCs ns0:val="20"/>
          <ns0:rtl ns0:val="0"/>
        </ns0:rPr>
        <ns0:t xml:space="preserve">The audit plan section must be reviewed to confirm the assessed risk of material misstatement for each SCOTABD and to select the appropriate audit strategy for each. Additional audit plan considerations relating to the use of CAATs, accounting work, risk assessment procedures, and supervision must be completed.</ns0:t>
      </ns0:r>
    </ns0:p>
    <ns0:p ns0:rsidR="00000000" ns1:paraId="000000A0">
      <ns0:pPr>
        <ns0:pStyle ns0:val="Heading2"/>
        <ns0:spacing ns0:after="120" ns0:before="120" ns0:line="240" ns0:lineRule="auto"/>
        <ns0:rPr>
          <ns0:rFonts ns0:ascii="Switzer" ns0:hAnsi="Switzer" ns0:cs="Switzer" ns0:eastAsia="Switzer"/>
          <ns0:b ns0:val="0"/>
          <ns0:bCs ns0:val="0"/>
          <ns0:color ns0:val="51626f"/>
          <ns0:sz ns0:val="20"/>
          <ns0:szCs ns0:val="20"/>
        </ns0:rPr>
      </ns0:pPr>
      <ns0:r>
        <ns0:rPr>
          <ns0:rFonts ns0:ascii="Switzer" ns0:hAnsi="Switzer" ns0:cs="Switzer" ns0:eastAsia="Switzer"/>
          <ns0:b ns0:val="0"/>
          <ns0:bCs ns0:val="0"/>
          <ns0:color ns0:val="51626f"/>
          <ns0:sz ns0:val="20"/>
          <ns0:szCs ns0:val="20"/>
          <ns0:rtl ns0:val="0"/>
        </ns0:rPr>
        <ns0:t xml:space="preserve">The planning meeting notes must be completed to document the engagement team discussion, including expected behaviour, problems, professional skepticism, susceptibility to material misstatement and fraud, materiality, and matters to be communicated to absent team members.</ns0:t>
      </ns0:r>
    </ns0:p>
    <ns0:p ns0:rsidR="00000000" ns1:paraId="000000A1">
      <ns0:pPr>
        <ns0:pStyle ns0:val="Heading2"/>
        <ns0:spacing ns0:after="120" ns0:before="120" ns0:line="240" ns0:lineRule="auto"/>
        <ns0:rPr>
          <ns0:rFonts ns0:ascii="Switzer" ns0:hAnsi="Switzer" ns0:cs="Switzer" ns0:eastAsia="Switzer"/>
          <ns0:b ns0:val="0"/>
          <ns0:bCs ns0:val="0"/>
          <ns0:color ns0:val="51626f"/>
          <ns0:sz ns0:val="20"/>
          <ns0:szCs ns0:val="20"/>
        </ns0:rPr>
      </ns0:pPr>
      <ns0:r>
        <ns0:rPr>
          <ns0:rFonts ns0:ascii="Switzer" ns0:hAnsi="Switzer" ns0:cs="Switzer" ns0:eastAsia="Switzer"/>
          <ns0:b ns0:val="0"/>
          <ns0:bCs ns0:val="0"/>
          <ns0:color ns0:val="51626f"/>
          <ns0:sz ns0:val="20"/>
          <ns0:szCs ns0:val="20"/>
          <ns0:rtl ns0:val="0"/>
        </ns0:rPr>
        <ns0:t xml:space="preserve">The other significant discussions section must be completed to document communication to the directors about the planned scope and timing of the audit and significant risks identified.</ns0:t>
      </ns0:r>
    </ns0:p>
    <ns0:p ns0:rsidR="00000000" ns1:paraId="000000A2">
      <ns0:pPr>
        <ns0:pStyle ns0:val="Heading2"/>
        <ns0:spacing ns0:after="120" ns0:before="120" ns0:line="240" ns0:lineRule="auto"/>
        <ns0:rPr>
          <ns0:rFonts ns0:ascii="Switzer" ns0:hAnsi="Switzer" ns0:cs="Switzer" ns0:eastAsia="Switzer"/>
          <ns0:b ns0:val="0"/>
          <ns0:bCs ns0:val="0"/>
          <ns0:color ns0:val="51626f"/>
          <ns0:sz ns0:val="20"/>
          <ns0:szCs ns0:val="20"/>
        </ns0:rPr>
      </ns0:pPr>
      <ns0:r>
        <ns0:rPr>
          <ns0:rFonts ns0:ascii="Switzer" ns0:hAnsi="Switzer" ns0:cs="Switzer" ns0:eastAsia="Switzer"/>
          <ns0:b ns0:val="0"/>
          <ns0:bCs ns0:val="0"/>
          <ns0:color ns0:val="51626f"/>
          <ns0:sz ns0:val="20"/>
          <ns0:szCs ns0:val="20"/>
          <ns0:rtl ns0:val="0"/>
        </ns0:rPr>
        <ns0:t xml:space="preserve">The engagement partner declaration must be completed by the engagement partner to confirm compliance with quality management, ethical requirements, independence, resources, competence, and review responsibilities.</ns0:t>
      </ns0:r>
    </ns0:p>
    <ns0:p ns0:rsidR="00000000" ns1:paraId="000000A3">
      <ns0:pPr>
        <ns0:pStyle ns0:val="Heading2"/>
        <ns0:spacing ns0:after="120" ns0:before="120" ns0:line="240" ns0:lineRule="auto"/>
        <ns0:rPr>
          <ns0:rFonts ns0:ascii="Switzer" ns0:hAnsi="Switzer" ns0:cs="Switzer" ns0:eastAsia="Switzer"/>
          <ns0:b ns0:val="0"/>
          <ns0:bCs ns0:val="0"/>
          <ns0:color ns0:val="51626f"/>
          <ns0:sz ns0:val="20"/>
          <ns0:szCs ns0:val="20"/>
        </ns0:rPr>
      </ns0:pPr>
      <ns0:r>
        <ns0:rPr>
          <ns0:rFonts ns0:ascii="Switzer" ns0:hAnsi="Switzer" ns0:cs="Switzer" ns0:eastAsia="Switzer"/>
          <ns0:b ns0:val="0"/>
          <ns0:bCs ns0:val="0"/>
          <ns0:color ns0:val="51626f"/>
          <ns0:sz ns0:val="20"/>
          <ns0:szCs ns0:val="20"/>
          <ns0:rtl ns0:val="0"/>
        </ns0:rPr>
        <ns0:t xml:space="preserve">The engagement partner sign-off must be completed with a comment, name, signature and date.</ns0:t>
      </ns0:r>
    </ns0:p>
    <ns0:p ns0:rsidR="00000000" ns1:paraId="000000A4">
      <ns0:pPr>
        <ns0:rPr/>
      </ns0:pPr>
      <ns0:r>
        <ns0:pict>
          <ns6:rect style="width:0.0pt;height:1.5pt" ns7:hr="t" ns7:hrstd="t" ns7:hralign="center" fillcolor="#A0A0A0" stroked="f"/>
        </ns0:pict>
      </ns0:r>
    </ns0:p>
    <ns0:p ns0:rsidR="00000000" ns1:paraId="000000A5">
      <ns0:pPr>
        <ns0:pStyle ns0:val="Heading1"/>
        <ns0:rPr/>
      </ns0:pPr>
      <ns0:bookmarkStart ns0:colFirst="0" ns0:colLast="0" ns0:name="_group_audits" ns0:id="5"/>
      <ns0:bookmarkEnd ns0:id="5"/>
      <ns0:r>
        <ns0:rPr>
          <ns0:rtl ns0:val="0"/>
        </ns0:rPr>
        <ns0:t xml:space="preserve">Group Audits</ns0:t>
      </ns0:r>
    </ns0:p>
    <ns0:p ns0:rsidR="00000000" ns1:paraId="000000A6">
      <ns0:pPr>
        <ns0:pStyle ns0:val="Heading2"/>
        <ns0:spacing ns0:after="120" ns0:before="120" ns0:line="240" ns0:lineRule="auto"/>
        <ns0:rPr>
          <ns0:rFonts ns0:ascii="Switzer" ns0:hAnsi="Switzer" ns0:cs="Switzer" ns0:eastAsia="Switzer"/>
          <ns0:b ns0:val="0"/>
          <ns0:bCs ns0:val="0"/>
          <ns0:color ns0:val="51626f"/>
          <ns0:sz ns0:val="20"/>
          <ns0:szCs ns0:val="20"/>
        </ns0:rPr>
      </ns0:pPr>
      <ns0:r>
        <ns0:rPr>
          <ns0:rFonts ns0:ascii="Switzer" ns0:hAnsi="Switzer" ns0:cs="Switzer" ns0:eastAsia="Switzer"/>
          <ns0:b ns0:val="0"/>
          <ns0:bCs ns0:val="0"/>
          <ns0:color ns0:val="51626f"/>
          <ns0:sz ns0:val="20"/>
          <ns0:szCs ns0:val="20"/>
          <ns0:rtl ns0:val="0"/>
        </ns0:rPr>
        <ns0:t xml:space="preserve">When the engagement type was selected as ‘Group Audit Single’ or ‘Group Audit Multiple’, questions are modified for the separate group audit engagement file.</ns0:t>
      </ns0:r>
    </ns0:p>
    <ns0:p ns0:rsidR="00000000" ns1:paraId="000000A7">
      <ns0:pPr>
        <ns0:pStyle ns0:val="Heading2"/>
        <ns0:spacing ns0:after="120" ns0:before="120" ns0:line="240" ns0:lineRule="auto"/>
        <ns0:rPr>
          <ns0:rFonts ns0:ascii="Switzer" ns0:hAnsi="Switzer" ns0:cs="Switzer" ns0:eastAsia="Switzer"/>
          <ns0:b ns0:val="0"/>
          <ns0:bCs ns0:val="0"/>
          <ns0:color ns0:val="51626f"/>
          <ns0:sz ns0:val="20"/>
          <ns0:szCs ns0:val="20"/>
        </ns0:rPr>
      </ns0:pPr>
      <ns0:r>
        <ns0:rPr>
          <ns0:rFonts ns0:ascii="Switzer" ns0:hAnsi="Switzer" ns0:cs="Switzer" ns0:eastAsia="Switzer"/>
          <ns0:b ns0:val="0"/>
          <ns0:bCs ns0:val="0"/>
          <ns0:color ns0:val="51626f"/>
          <ns0:sz ns0:val="20"/>
          <ns0:szCs ns0:val="20"/>
          <ns0:rtl ns0:val="0"/>
        </ns0:rPr>
        <ns0:t xml:space="preserve">Additional questions were added for group audit engagement to:</ns0:t>
      </ns0:r>
    </ns0:p>
    <ns0:p ns0:rsidR="00000000" ns1:paraId="000000A8">
      <ns0:pPr>
        <ns0:numPr>
          <ns0:ilvl ns0:val="0"/>
          <ns0:numId ns0:val="7"/>
        </ns0:numPr>
        <ns0:ind ns0:left="360"/>
        <ns0:rPr>
          <ns0:rFonts ns0:ascii="Switzer" ns0:hAnsi="Switzer" ns0:cs="Switzer" ns0:eastAsia="Switzer"/>
          <ns0:color ns0:val="51626f"/>
          <ns0:sz ns0:val="20"/>
          <ns0:szCs ns0:val="20"/>
        </ns0:rPr>
        <ns0:spacing ns0:before="0" ns0:after="0"/>
      </ns0:pPr>
      <ns0:r>
        <ns0:rPr>
          <ns0:rFonts ns0:ascii="Switzer" ns0:hAnsi="Switzer" ns0:cs="Switzer" ns0:eastAsia="Switzer"/>
          <ns0:color ns0:val="51626f"/>
          <ns0:sz ns0:val="20"/>
          <ns0:szCs ns0:val="20"/>
        </ns0:rPr>
        <ns0:t xml:space="preserve">Identify components for planning and performing of audit procedures;</ns0:t>
      </ns0:r>
    </ns0:p>
    <ns0:p ns0:rsidR="00000000" ns1:paraId="000000A9">
      <ns0:pPr>
        <ns0:numPr>
          <ns0:ilvl ns0:val="0"/>
          <ns0:numId ns0:val="7"/>
        </ns0:numPr>
        <ns0:ind ns0:left="360"/>
        <ns0:rPr>
          <ns0:rFonts ns0:ascii="Switzer" ns0:hAnsi="Switzer" ns0:cs="Switzer" ns0:eastAsia="Switzer"/>
          <ns0:color ns0:val="51626f"/>
          <ns0:sz ns0:val="20"/>
          <ns0:szCs ns0:val="20"/>
        </ns0:rPr>
        <ns0:spacing ns0:before="0" ns0:after="0"/>
      </ns0:pPr>
      <ns0:r>
        <ns0:rPr>
          <ns0:rFonts ns0:ascii="Switzer" ns0:hAnsi="Switzer" ns0:cs="Switzer" ns0:eastAsia="Switzer"/>
          <ns0:color ns0:val="51626f"/>
          <ns0:sz ns0:val="20"/>
          <ns0:szCs ns0:val="20"/>
        </ns0:rPr>
        <ns0:t xml:space="preserve">Determine expected involvement of component auditors in risk assessment procedures and further audit procedures;</ns0:t>
      </ns0:r>
    </ns0:p>
    <ns0:p ns0:rsidR="00000000" ns1:paraId="000000AA">
      <ns0:pPr>
        <ns0:numPr>
          <ns0:ilvl ns0:val="0"/>
          <ns0:numId ns0:val="7"/>
        </ns0:numPr>
        <ns0:ind ns0:left="360"/>
        <ns0:rPr>
          <ns0:rFonts ns0:ascii="Switzer" ns0:hAnsi="Switzer" ns0:cs="Switzer" ns0:eastAsia="Switzer"/>
          <ns0:color ns0:val="51626f"/>
          <ns0:sz ns0:val="20"/>
          <ns0:szCs ns0:val="20"/>
        </ns0:rPr>
        <ns0:spacing ns0:before="0" ns0:after="0"/>
      </ns0:pPr>
      <ns0:r>
        <ns0:rPr>
          <ns0:rFonts ns0:ascii="Switzer" ns0:hAnsi="Switzer" ns0:cs="Switzer" ns0:eastAsia="Switzer"/>
          <ns0:color ns0:val="51626f"/>
          <ns0:sz ns0:val="20"/>
          <ns0:szCs ns0:val="20"/>
        </ns0:rPr>
        <ns0:t xml:space="preserve">Evaluate access to components and component auditors; and</ns0:t>
      </ns0:r>
    </ns0:p>
    <ns0:p ns0:rsidR="00000000" ns1:paraId="000000AB">
      <ns0:pPr>
        <ns0:numPr>
          <ns0:ilvl ns0:val="0"/>
          <ns0:numId ns0:val="7"/>
        </ns0:numPr>
        <ns0:ind ns0:left="360"/>
        <ns0:rPr>
          <ns0:rFonts ns0:ascii="Switzer" ns0:hAnsi="Switzer" ns0:cs="Switzer" ns0:eastAsia="Switzer"/>
          <ns0:color ns0:val="51626f"/>
          <ns0:sz ns0:val="20"/>
          <ns0:szCs ns0:val="20"/>
        </ns0:rPr>
        <ns0:spacing ns0:before="0" ns0:after="0"/>
      </ns0:pPr>
      <ns0:r>
        <ns0:rPr>
          <ns0:rFonts ns0:ascii="Switzer" ns0:hAnsi="Switzer" ns0:cs="Switzer" ns0:eastAsia="Switzer"/>
          <ns0:color ns0:val="51626f"/>
          <ns0:sz ns0:val="20"/>
          <ns0:szCs ns0:val="20"/>
        </ns0:rPr>
        <ns0:t xml:space="preserve">Determine whether there is any indication that the group auditor will not be able to be sufficiently and appropriately involved in the work of the component auditor.</ns0:t>
      </ns0:r>
    </ns0:p>
    <ns0:p ns0:rsidR="00000000" ns1:paraId="000000AC">
      <ns0:pPr>
        <ns0:pStyle ns0:val="Heading2"/>
        <ns0:spacing ns0:after="120" ns0:before="200" ns0:line="240" ns0:lineRule="auto"/>
        <ns0:rPr>
          <ns0:rFonts ns0:ascii="Switzer" ns0:hAnsi="Switzer" ns0:cs="Switzer" ns0:eastAsia="Switzer"/>
          <ns0:b ns0:val="0"/>
          <ns0:bCs ns0:val="0"/>
          <ns0:color ns0:val="51626f"/>
          <ns0:sz ns0:val="20"/>
          <ns0:szCs ns0:val="20"/>
        </ns0:rPr>
      </ns0:pPr>
      <ns0:r>
        <ns0:rPr>
          <ns0:rFonts ns0:ascii="Switzer" ns0:hAnsi="Switzer" ns0:cs="Switzer" ns0:eastAsia="Switzer"/>
          <ns0:b ns0:val="0"/>
          <ns0:bCs ns0:val="0"/>
          <ns0:color ns0:val="51626f"/>
          <ns0:sz ns0:val="20"/>
          <ns0:szCs ns0:val="20"/>
          <ns0:rtl ns0:val="0"/>
        </ns0:rPr>
        <ns0:t xml:space="preserve">Some questions include red warnings or blue text in the description column. Follow the red warnings that inform you where key information should be recorded and the blue text in the description column that advises you where the understanding may be documented.</ns0:t>
      </ns0:r>
    </ns0:p>
    <ns0:p ns0:rsidR="00000000" ns1:paraId="000000AD">
      <ns0:pPr>
        <ns0:pStyle ns0:val="Heading1"/>
        <ns0:rPr/>
      </ns0:pPr>
      <ns0:bookmarkStart ns0:colFirst="0" ns0:colLast="0" ns0:name="_conclusion" ns0:id="6"/>
      <ns0:bookmarkEnd ns0:id="6"/>
      <ns0:r>
        <ns0:rPr>
          <ns0:rtl ns0:val="0"/>
        </ns0:rPr>
        <ns0:t xml:space="preserve">IN CONCLUSION</ns0:t>
      </ns0:r>
    </ns0:p>
    <ns0:p ns0:rsidR="00000000" ns1:paraId="000000AE">
      <ns0:pPr>
        <ns0:pStyle ns0:val="Heading1"/>
        <ns0:rPr>
          <ns0:color ns0:val="51626f"/>
        </ns0:rPr>
      </ns0:pPr>
      <ns0:r>
        <ns0:rPr>
          <ns0:rtl ns0:val="0"/>
        </ns0:rPr>
        <ns0:t xml:space="preserve">Features</ns0:t>
      </ns0:r>
    </ns0:p>
    <ns0:p ns0:rsidR="00000000" ns1:paraId="000000AF">
      <ns0:pPr>
        <ns0:pStyle ns0:val="Heading2"/>
        <ns0:spacing ns0:after="120" ns0:before="120" ns0:line="240" ns0:lineRule="auto"/>
        <ns0:rPr>
          <ns0:rFonts ns0:ascii="Switzer" ns0:hAnsi="Switzer" ns0:cs="Switzer" ns0:eastAsia="Switzer"/>
          <ns0:b ns0:val="0"/>
          <ns0:bCs ns0:val="0"/>
          <ns0:color ns0:val="51626f"/>
          <ns0:sz ns0:val="20"/>
          <ns0:szCs ns0:val="20"/>
        </ns0:rPr>
      </ns0:pPr>
      <ns0:r>
        <ns0:rPr>
          <ns0:rFonts ns0:ascii="Switzer" ns0:hAnsi="Switzer" ns0:cs="Switzer" ns0:eastAsia="Switzer"/>
          <ns0:b ns0:val="0"/>
          <ns0:bCs ns0:val="0"/>
          <ns0:color ns0:val="51626f"/>
          <ns0:sz ns0:val="20"/>
          <ns0:szCs ns0:val="20"/>
          <ns0:rtl ns0:val="0"/>
        </ns0:rPr>
        <ns0:t xml:space="preserve">The following features are available in the document:</ns0:t>
      </ns0:r>
    </ns0:p>
    <ns0:p ns0:rsidR="00000000" ns1:paraId="000000B0">
      <ns0:pPr>
        <ns0:numPr>
          <ns0:ilvl ns0:val="0"/>
          <ns0:numId ns0:val="7"/>
        </ns0:numPr>
        <ns0:ind ns0:left="360"/>
        <ns0:rPr>
          <ns0:rFonts ns0:ascii="Switzer" ns0:hAnsi="Switzer" ns0:cs="Switzer" ns0:eastAsia="Switzer"/>
          <ns0:color ns0:val="51626f"/>
          <ns0:sz ns0:val="20"/>
          <ns0:szCs ns0:val="20"/>
        </ns0:rPr>
        <ns0:spacing ns0:before="0" ns0:after="0"/>
      </ns0:pPr>
      <ns0:r>
        <ns0:rPr>
          <ns0:rFonts ns0:ascii="Switzer" ns0:hAnsi="Switzer" ns0:cs="Switzer" ns0:eastAsia="Switzer"/>
          <ns0:color ns0:val="51626f"/>
          <ns0:sz ns0:val="20"/>
          <ns0:szCs ns0:val="20"/>
        </ns0:rPr>
        <ns0:t xml:space="preserve">Insert or delete a comment, see page </ns0:t>
      </ns0:r>
      <ns0:r>
        <ns0:rPr>
          <ns0:rFonts ns0:ascii="Switzer" ns0:hAnsi="Switzer" ns0:cs="Switzer" ns0:eastAsia="Switzer"/>
          <ns0:color ns0:val="51626f"/>
          <ns0:sz ns0:val="20"/>
          <ns0:szCs ns0:val="20"/>
          <ns0:u ns0:val="single"/>
        </ns0:rPr>
        <ns0:t xml:space="preserve">F3</ns0:t>
      </ns0:r>
    </ns0:p>
    <ns0:p ns0:rsidR="00000000" ns1:paraId="000000B1">
      <ns0:pPr>
        <ns0:numPr>
          <ns0:ilvl ns0:val="0"/>
          <ns0:numId ns0:val="7"/>
        </ns0:numPr>
        <ns0:ind ns0:left="360"/>
        <ns0:rPr>
          <ns0:rFonts ns0:ascii="Switzer" ns0:hAnsi="Switzer" ns0:cs="Switzer" ns0:eastAsia="Switzer"/>
          <ns0:color ns0:val="51626f"/>
          <ns0:sz ns0:val="20"/>
          <ns0:szCs ns0:val="20"/>
        </ns0:rPr>
        <ns0:spacing ns0:before="0" ns0:after="0"/>
      </ns0:pPr>
      <ns0:r>
        <ns0:rPr>
          <ns0:rFonts ns0:ascii="Switzer" ns0:hAnsi="Switzer" ns0:cs="Switzer" ns0:eastAsia="Switzer"/>
          <ns0:color ns0:val="51626f"/>
          <ns0:sz ns0:val="20"/>
          <ns0:szCs ns0:val="20"/>
        </ns0:rPr>
        <ns0:t xml:space="preserve">Insert or delete a row, see page </ns0:t>
      </ns0:r>
      <ns0:r>
        <ns0:rPr>
          <ns0:rFonts ns0:ascii="Switzer" ns0:hAnsi="Switzer" ns0:cs="Switzer" ns0:eastAsia="Switzer"/>
          <ns0:color ns0:val="51626f"/>
          <ns0:sz ns0:val="20"/>
          <ns0:szCs ns0:val="20"/>
          <ns0:u ns0:val="single"/>
        </ns0:rPr>
        <ns0:t xml:space="preserve">F5</ns0:t>
      </ns0:r>
    </ns0:p>
    <ns0:p ns0:rsidR="00000000" ns1:paraId="000000B2">
      <ns0:pPr>
        <ns0:numPr>
          <ns0:ilvl ns0:val="0"/>
          <ns0:numId ns0:val="7"/>
        </ns0:numPr>
        <ns0:ind ns0:left="360"/>
        <ns0:rPr>
          <ns0:rFonts ns0:ascii="Switzer" ns0:hAnsi="Switzer" ns0:cs="Switzer" ns0:eastAsia="Switzer"/>
          <ns0:color ns0:val="51626f"/>
          <ns0:sz ns0:val="20"/>
          <ns0:szCs ns0:val="20"/>
        </ns0:rPr>
        <ns0:spacing ns0:before="0" ns0:after="0"/>
      </ns0:pPr>
      <ns0:r>
        <ns0:rPr>
          <ns0:rFonts ns0:ascii="Switzer" ns0:hAnsi="Switzer" ns0:cs="Switzer" ns0:eastAsia="Switzer"/>
          <ns0:color ns0:val="51626f"/>
          <ns0:sz ns0:val="20"/>
          <ns0:szCs ns0:val="20"/>
        </ns0:rPr>
        <ns0:t xml:space="preserve">Record a risk or event, see page </ns0:t>
      </ns0:r>
      <ns0:r>
        <ns0:rPr>
          <ns0:rFonts ns0:ascii="Switzer" ns0:hAnsi="Switzer" ns0:cs="Switzer" ns0:eastAsia="Switzer"/>
          <ns0:color ns0:val="51626f"/>
          <ns0:sz ns0:val="20"/>
          <ns0:szCs ns0:val="20"/>
          <ns0:u ns0:val="single"/>
        </ns0:rPr>
        <ns0:t xml:space="preserve">F10</ns0:t>
      </ns0:r>
    </ns0:p>
    <ns0:p ns0:rsidR="00000000" ns1:paraId="000000B3">
      <ns0:pPr>
        <ns0:numPr>
          <ns0:ilvl ns0:val="0"/>
          <ns0:numId ns0:val="7"/>
        </ns0:numPr>
        <ns0:ind ns0:left="360"/>
        <ns0:rPr>
          <ns0:rFonts ns0:ascii="Switzer" ns0:hAnsi="Switzer" ns0:cs="Switzer" ns0:eastAsia="Switzer"/>
          <ns0:color ns0:val="51626f"/>
          <ns0:sz ns0:val="20"/>
          <ns0:szCs ns0:val="20"/>
        </ns0:rPr>
        <ns0:spacing ns0:before="0" ns0:after="0"/>
      </ns0:pPr>
      <ns0:r>
        <ns0:rPr>
          <ns0:rFonts ns0:ascii="Switzer" ns0:hAnsi="Switzer" ns0:cs="Switzer" ns0:eastAsia="Switzer"/>
          <ns0:color ns0:val="51626f"/>
          <ns0:sz ns0:val="20"/>
          <ns0:szCs ns0:val="20"/>
        </ns0:rPr>
        <ns0:t xml:space="preserve">Guidance, see page </ns0:t>
      </ns0:r>
      <ns0:r>
        <ns0:rPr>
          <ns0:rFonts ns0:ascii="Switzer" ns0:hAnsi="Switzer" ns0:cs="Switzer" ns0:eastAsia="Switzer"/>
          <ns0:color ns0:val="51626f"/>
          <ns0:sz ns0:val="20"/>
          <ns0:szCs ns0:val="20"/>
          <ns0:u ns0:val="single"/>
        </ns0:rPr>
        <ns0:t xml:space="preserve">F16</ns0:t>
      </ns0:r>
    </ns0:p>
    <ns0:p ns0:rsidR="00000000" ns1:paraId="000000B4">
      <ns0:pPr>
        <ns0:numPr>
          <ns0:ilvl ns0:val="0"/>
          <ns0:numId ns0:val="7"/>
        </ns0:numPr>
        <ns0:ind ns0:left="360"/>
        <ns0:rPr>
          <ns0:rFonts ns0:ascii="Switzer" ns0:hAnsi="Switzer" ns0:cs="Switzer" ns0:eastAsia="Switzer"/>
          <ns0:color ns0:val="51626f"/>
          <ns0:sz ns0:val="20"/>
          <ns0:szCs ns0:val="20"/>
        </ns0:rPr>
        <ns0:spacing ns0:before="0" ns0:after="0"/>
      </ns0:pPr>
      <ns0:r>
        <ns0:rPr>
          <ns0:rFonts ns0:ascii="Switzer" ns0:hAnsi="Switzer" ns0:cs="Switzer" ns0:eastAsia="Switzer"/>
          <ns0:color ns0:val="51626f"/>
          <ns0:sz ns0:val="20"/>
          <ns0:szCs ns0:val="20"/>
        </ns0:rPr>
        <ns0:t xml:space="preserve">Freeze, see page </ns0:t>
      </ns0:r>
      <ns0:r>
        <ns0:rPr>
          <ns0:rFonts ns0:ascii="Switzer" ns0:hAnsi="Switzer" ns0:cs="Switzer" ns0:eastAsia="Switzer"/>
          <ns0:color ns0:val="51626f"/>
          <ns0:sz ns0:val="20"/>
          <ns0:szCs ns0:val="20"/>
          <ns0:u ns0:val="single"/>
        </ns0:rPr>
        <ns0:t xml:space="preserve">F19</ns0:t>
      </ns0:r>
    </ns0:p>
    <ns0:sectPr>
      <ns0:pgSz ns0:w="11906" ns0:h="16838" ns0:orient="portrait"/>
      <ns0:pgMar ns0:top="720" ns0:right="720" ns0:bottom="720" ns0:left="1080" ns0:header="708" ns0:footer="708" ns0:gutter="0"/>
      <ns0:cols ns0:space="708"/>
      <ns0:docGrid ns0:linePitch="360"/>
    </ns0:sectPr>
  </ns0:body>
</ns0: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witzer"/>
  <w:font w:name="Pastiche Grotesque"/>
</w:fonts>
</file>

<file path=word/numbering.xml><?xml version="1.0" encoding="utf-8"?>
<w:numbering xmlns:w="http://schemas.openxmlformats.org/wordprocessingml/2006/main">
  <w:abstractNum w:abstractNumId="1">
    <w:lvl w:ilvl="0">
      <w:start w:val="1"/>
      <w:numFmt w:val="bullet"/>
      <w:lvlText w:val="●"/>
      <w:lvlJc w:val="left"/>
      <w:pPr>
        <w:ind w:left="768" w:hanging="360"/>
      </w:pPr>
      <w:rPr>
        <w:u w:val="none"/>
        <w:sz w:val="26"/>
        <w:szCs w:val="26"/>
        <w:rFonts w:ascii="Roboto" w:hAnsi="Roboto" w:cs="Roboto" w:eastAsia="Roboto"/>
      </w:rPr>
    </w:lvl>
    <w:lvl w:ilvl="1">
      <w:start w:val="1"/>
      <w:numFmt w:val="bullet"/>
      <w:lvlText w:val="o"/>
      <w:lvlJc w:val="left"/>
      <w:pPr>
        <w:ind w:left="1488" w:hanging="360"/>
      </w:pPr>
      <w:rPr>
        <w:u w:val="none"/>
        <w:sz w:val="26"/>
        <w:szCs w:val="26"/>
        <w:rFonts w:ascii="Roboto" w:hAnsi="Roboto" w:cs="Roboto" w:eastAsia="Roboto"/>
      </w:rPr>
    </w:lvl>
    <w:lvl w:ilvl="2">
      <w:start w:val="1"/>
      <w:numFmt w:val="bullet"/>
      <w:lvlText w:val="▪"/>
      <w:lvlJc w:val="left"/>
      <w:pPr>
        <w:ind w:left="2208" w:hanging="360"/>
      </w:pPr>
      <w:rPr>
        <w:u w:val="none"/>
        <w:sz w:val="26"/>
        <w:szCs w:val="26"/>
        <w:rFonts w:ascii="Roboto" w:hAnsi="Roboto" w:cs="Roboto" w:eastAsia="Roboto"/>
      </w:rPr>
    </w:lvl>
    <w:lvl w:ilvl="3">
      <w:start w:val="1"/>
      <w:numFmt w:val="bullet"/>
      <w:lvlText w:val="●"/>
      <w:lvlJc w:val="left"/>
      <w:pPr>
        <w:ind w:left="2928" w:hanging="360"/>
      </w:pPr>
      <w:rPr>
        <w:u w:val="none"/>
        <w:sz w:val="26"/>
        <w:szCs w:val="26"/>
        <w:rFonts w:ascii="Roboto" w:hAnsi="Roboto" w:cs="Roboto" w:eastAsia="Roboto"/>
      </w:rPr>
    </w:lvl>
    <w:lvl w:ilvl="4">
      <w:start w:val="1"/>
      <w:numFmt w:val="bullet"/>
      <w:lvlText w:val="o"/>
      <w:lvlJc w:val="left"/>
      <w:pPr>
        <w:ind w:left="3648" w:hanging="360"/>
      </w:pPr>
      <w:rPr>
        <w:u w:val="none"/>
        <w:sz w:val="26"/>
        <w:szCs w:val="26"/>
        <w:rFonts w:ascii="Roboto" w:hAnsi="Roboto" w:cs="Roboto" w:eastAsia="Roboto"/>
      </w:rPr>
    </w:lvl>
    <w:lvl w:ilvl="5">
      <w:start w:val="1"/>
      <w:numFmt w:val="bullet"/>
      <w:lvlText w:val="▪"/>
      <w:lvlJc w:val="left"/>
      <w:pPr>
        <w:ind w:left="4368" w:hanging="360"/>
      </w:pPr>
      <w:rPr>
        <w:u w:val="none"/>
        <w:sz w:val="26"/>
        <w:szCs w:val="26"/>
        <w:rFonts w:ascii="Roboto" w:hAnsi="Roboto" w:cs="Roboto" w:eastAsia="Roboto"/>
      </w:rPr>
    </w:lvl>
    <w:lvl w:ilvl="6">
      <w:start w:val="1"/>
      <w:numFmt w:val="bullet"/>
      <w:lvlText w:val="●"/>
      <w:lvlJc w:val="left"/>
      <w:pPr>
        <w:ind w:left="5088" w:hanging="360"/>
      </w:pPr>
      <w:rPr>
        <w:u w:val="none"/>
        <w:sz w:val="26"/>
        <w:szCs w:val="26"/>
        <w:rFonts w:ascii="Roboto" w:hAnsi="Roboto" w:cs="Roboto" w:eastAsia="Roboto"/>
      </w:rPr>
    </w:lvl>
    <w:lvl w:ilvl="7">
      <w:start w:val="1"/>
      <w:numFmt w:val="bullet"/>
      <w:lvlText w:val="o"/>
      <w:lvlJc w:val="left"/>
      <w:pPr>
        <w:ind w:left="5808" w:hanging="360"/>
      </w:pPr>
      <w:rPr>
        <w:u w:val="none"/>
        <w:sz w:val="26"/>
        <w:szCs w:val="26"/>
        <w:rFonts w:ascii="Roboto" w:hAnsi="Roboto" w:cs="Roboto" w:eastAsia="Roboto"/>
      </w:rPr>
    </w:lvl>
    <w:lvl w:ilvl="8">
      <w:start w:val="1"/>
      <w:numFmt w:val="bullet"/>
      <w:lvlText w:val="▪"/>
      <w:lvlJc w:val="left"/>
      <w:pPr>
        <w:ind w:left="6528" w:hanging="360"/>
      </w:pPr>
      <w:rPr>
        <w:u w:val="none"/>
        <w:sz w:val="26"/>
        <w:szCs w:val="26"/>
        <w:rFonts w:ascii="Roboto" w:hAnsi="Roboto" w:cs="Roboto" w:eastAsia="Roboto"/>
      </w:rPr>
    </w:lvl>
  </w:abstractNum>
  <w:abstractNum w:abstractNumId="2">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3">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4">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5">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6">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7">
    <w:lvl w:ilvl="0">
      <w:start w:val="1"/>
      <w:numFmt w:val="bullet"/>
      <w:lvlText w:val="●"/>
      <w:lvlJc w:val="left"/>
      <w:pPr>
        <w:ind w:left="360" w:hanging="360"/>
      </w:pPr>
      <w:rPr>
        <w:u w:val="none"/>
        <w:sz w:val="26"/>
        <w:szCs w:val="26"/>
        <w:rFonts w:ascii="Roboto" w:hAnsi="Roboto" w:cs="Roboto" w:eastAsia="Roboto"/>
      </w:rPr>
    </w:lvl>
    <w:lvl w:ilvl="1">
      <w:start w:val="1"/>
      <w:numFmt w:val="bullet"/>
      <w:lvlText w:val="o"/>
      <w:lvlJc w:val="left"/>
      <w:pPr>
        <w:ind w:left="1080" w:hanging="360"/>
      </w:pPr>
      <w:rPr>
        <w:u w:val="none"/>
        <w:sz w:val="26"/>
        <w:szCs w:val="26"/>
        <w:rFonts w:ascii="Roboto" w:hAnsi="Roboto" w:cs="Roboto" w:eastAsia="Roboto"/>
      </w:rPr>
    </w:lvl>
    <w:lvl w:ilvl="2">
      <w:start w:val="1"/>
      <w:numFmt w:val="bullet"/>
      <w:lvlText w:val="▪"/>
      <w:lvlJc w:val="left"/>
      <w:pPr>
        <w:ind w:left="1800" w:hanging="360"/>
      </w:pPr>
      <w:rPr>
        <w:u w:val="none"/>
        <w:sz w:val="26"/>
        <w:szCs w:val="26"/>
        <w:rFonts w:ascii="Roboto" w:hAnsi="Roboto" w:cs="Roboto" w:eastAsia="Roboto"/>
      </w:rPr>
    </w:lvl>
    <w:lvl w:ilvl="3">
      <w:start w:val="1"/>
      <w:numFmt w:val="bullet"/>
      <w:lvlText w:val="●"/>
      <w:lvlJc w:val="left"/>
      <w:pPr>
        <w:ind w:left="2520" w:hanging="360"/>
      </w:pPr>
      <w:rPr>
        <w:u w:val="none"/>
        <w:sz w:val="26"/>
        <w:szCs w:val="26"/>
        <w:rFonts w:ascii="Roboto" w:hAnsi="Roboto" w:cs="Roboto" w:eastAsia="Roboto"/>
      </w:rPr>
    </w:lvl>
    <w:lvl w:ilvl="4">
      <w:start w:val="1"/>
      <w:numFmt w:val="bullet"/>
      <w:lvlText w:val="o"/>
      <w:lvlJc w:val="left"/>
      <w:pPr>
        <w:ind w:left="3240" w:hanging="360"/>
      </w:pPr>
      <w:rPr>
        <w:u w:val="none"/>
        <w:sz w:val="26"/>
        <w:szCs w:val="26"/>
        <w:rFonts w:ascii="Roboto" w:hAnsi="Roboto" w:cs="Roboto" w:eastAsia="Roboto"/>
      </w:rPr>
    </w:lvl>
    <w:lvl w:ilvl="5">
      <w:start w:val="1"/>
      <w:numFmt w:val="bullet"/>
      <w:lvlText w:val="▪"/>
      <w:lvlJc w:val="left"/>
      <w:pPr>
        <w:ind w:left="3960" w:hanging="360"/>
      </w:pPr>
      <w:rPr>
        <w:u w:val="none"/>
        <w:sz w:val="26"/>
        <w:szCs w:val="26"/>
        <w:rFonts w:ascii="Roboto" w:hAnsi="Roboto" w:cs="Roboto" w:eastAsia="Roboto"/>
      </w:rPr>
    </w:lvl>
    <w:lvl w:ilvl="6">
      <w:start w:val="1"/>
      <w:numFmt w:val="bullet"/>
      <w:lvlText w:val="●"/>
      <w:lvlJc w:val="left"/>
      <w:pPr>
        <w:ind w:left="4680" w:hanging="360"/>
      </w:pPr>
      <w:rPr>
        <w:u w:val="none"/>
        <w:sz w:val="26"/>
        <w:szCs w:val="26"/>
        <w:rFonts w:ascii="Roboto" w:hAnsi="Roboto" w:cs="Roboto" w:eastAsia="Roboto"/>
      </w:rPr>
    </w:lvl>
    <w:lvl w:ilvl="7">
      <w:start w:val="1"/>
      <w:numFmt w:val="bullet"/>
      <w:lvlText w:val="o"/>
      <w:lvlJc w:val="left"/>
      <w:pPr>
        <w:ind w:left="5400" w:hanging="360"/>
      </w:pPr>
      <w:rPr>
        <w:u w:val="none"/>
        <w:sz w:val="26"/>
        <w:szCs w:val="26"/>
        <w:rFonts w:ascii="Roboto" w:hAnsi="Roboto" w:cs="Roboto" w:eastAsia="Roboto"/>
      </w:rPr>
    </w:lvl>
    <w:lvl w:ilvl="8">
      <w:start w:val="1"/>
      <w:numFmt w:val="bullet"/>
      <w:lvlText w:val="▪"/>
      <w:lvlJc w:val="left"/>
      <w:pPr>
        <w:ind w:left="6120" w:hanging="360"/>
      </w:pPr>
      <w:rPr>
        <w:u w:val="none"/>
        <w:sz w:val="26"/>
        <w:szCs w:val="26"/>
        <w:rFonts w:ascii="Roboto" w:hAnsi="Roboto" w:cs="Roboto" w:eastAsia="Roboto"/>
      </w:rPr>
    </w:lvl>
  </w:abstractNum>
  <w:abstractNum w:abstractNumId="8">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9">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10">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11">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abstractNum w:abstractNumId="12">
    <w:lvl w:ilvl="0">
      <w:start w:val="1"/>
      <w:numFmt w:val="bullet"/>
      <w:lvlText w:val="●"/>
      <w:lvlJc w:val="left"/>
      <w:pPr>
        <w:ind w:left="720" w:hanging="360"/>
      </w:pPr>
      <w:rPr>
        <w:rFonts w:ascii="Roboto" w:cs="Roboto" w:eastAsia="Roboto" w:hAnsi="Roboto"/>
        <w:sz w:val="26"/>
        <w:szCs w:val="26"/>
        <w:u w:val="none"/>
      </w:rPr>
    </w:lvl>
    <w:lvl w:ilvl="1">
      <w:start w:val="1"/>
      <w:numFmt w:val="bullet"/>
      <w:lvlText w:val="○"/>
      <w:lvlJc w:val="left"/>
      <w:pPr>
        <w:ind w:left="1440" w:hanging="360"/>
      </w:pPr>
      <w:rPr>
        <w:u w:val="none"/>
        <w:sz w:val="26"/>
        <w:szCs w:val="26"/>
        <w:rFonts w:ascii="Roboto" w:hAnsi="Roboto" w:cs="Roboto" w:eastAsia="Roboto"/>
      </w:rPr>
    </w:lvl>
    <w:lvl w:ilvl="2">
      <w:start w:val="1"/>
      <w:numFmt w:val="bullet"/>
      <w:lvlText w:val="■"/>
      <w:lvlJc w:val="left"/>
      <w:pPr>
        <w:ind w:left="2160" w:hanging="360"/>
      </w:pPr>
      <w:rPr>
        <w:u w:val="none"/>
        <w:sz w:val="26"/>
        <w:szCs w:val="26"/>
        <w:rFonts w:ascii="Roboto" w:hAnsi="Roboto" w:cs="Roboto" w:eastAsia="Roboto"/>
      </w:rPr>
    </w:lvl>
    <w:lvl w:ilvl="3">
      <w:start w:val="1"/>
      <w:numFmt w:val="bullet"/>
      <w:lvlText w:val="●"/>
      <w:lvlJc w:val="left"/>
      <w:pPr>
        <w:ind w:left="2880" w:hanging="360"/>
      </w:pPr>
      <w:rPr>
        <w:u w:val="none"/>
        <w:sz w:val="26"/>
        <w:szCs w:val="26"/>
        <w:rFonts w:ascii="Roboto" w:hAnsi="Roboto" w:cs="Roboto" w:eastAsia="Roboto"/>
      </w:rPr>
    </w:lvl>
    <w:lvl w:ilvl="4">
      <w:start w:val="1"/>
      <w:numFmt w:val="bullet"/>
      <w:lvlText w:val="○"/>
      <w:lvlJc w:val="left"/>
      <w:pPr>
        <w:ind w:left="3600" w:hanging="360"/>
      </w:pPr>
      <w:rPr>
        <w:u w:val="none"/>
        <w:sz w:val="26"/>
        <w:szCs w:val="26"/>
        <w:rFonts w:ascii="Roboto" w:hAnsi="Roboto" w:cs="Roboto" w:eastAsia="Roboto"/>
      </w:rPr>
    </w:lvl>
    <w:lvl w:ilvl="5">
      <w:start w:val="1"/>
      <w:numFmt w:val="bullet"/>
      <w:lvlText w:val="■"/>
      <w:lvlJc w:val="left"/>
      <w:pPr>
        <w:ind w:left="4320" w:hanging="360"/>
      </w:pPr>
      <w:rPr>
        <w:u w:val="none"/>
        <w:sz w:val="26"/>
        <w:szCs w:val="26"/>
        <w:rFonts w:ascii="Roboto" w:hAnsi="Roboto" w:cs="Roboto" w:eastAsia="Roboto"/>
      </w:rPr>
    </w:lvl>
    <w:lvl w:ilvl="6">
      <w:start w:val="1"/>
      <w:numFmt w:val="bullet"/>
      <w:lvlText w:val="●"/>
      <w:lvlJc w:val="left"/>
      <w:pPr>
        <w:ind w:left="5040" w:hanging="360"/>
      </w:pPr>
      <w:rPr>
        <w:u w:val="none"/>
        <w:sz w:val="26"/>
        <w:szCs w:val="26"/>
        <w:rFonts w:ascii="Roboto" w:hAnsi="Roboto" w:cs="Roboto" w:eastAsia="Roboto"/>
      </w:rPr>
    </w:lvl>
    <w:lvl w:ilvl="7">
      <w:start w:val="1"/>
      <w:numFmt w:val="bullet"/>
      <w:lvlText w:val="○"/>
      <w:lvlJc w:val="left"/>
      <w:pPr>
        <w:ind w:left="5760" w:hanging="360"/>
      </w:pPr>
      <w:rPr>
        <w:u w:val="none"/>
        <w:sz w:val="26"/>
        <w:szCs w:val="26"/>
        <w:rFonts w:ascii="Roboto" w:hAnsi="Roboto" w:cs="Roboto" w:eastAsia="Roboto"/>
      </w:rPr>
    </w:lvl>
    <w:lvl w:ilvl="8">
      <w:start w:val="1"/>
      <w:numFmt w:val="bullet"/>
      <w:lvlText w:val="■"/>
      <w:lvlJc w:val="left"/>
      <w:pPr>
        <w:ind w:left="6480" w:hanging="360"/>
      </w:pPr>
      <w:rPr>
        <w:u w:val="none"/>
        <w:sz w:val="26"/>
        <w:szCs w:val="26"/>
        <w:rFonts w:ascii="Roboto" w:hAnsi="Roboto" w:cs="Roboto" w:eastAsia="Roboto"/>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Switzer" w:cs="Switzer" w:eastAsia="Switzer" w:hAnsi="Switzer"/>
        <w:color w:val="51626f"/>
        <w:sz w:val="20"/>
        <w:szCs w:val="20"/>
        <w:highlight w:val="white"/>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Switzer" w:hAnsi="Switzer" w:cs="Switzer" w:eastAsia="Switzer"/>
      <w:sz w:val="20"/>
      <w:szCs w:val="20"/>
    </w:rPr>
  </w:style>
  <w:style w:type="paragraph" w:styleId="Heading1">
    <w:name w:val="heading 1"/>
    <w:basedOn w:val="Normal"/>
    <w:next w:val="Normal"/>
    <w:pPr>
      <w:keepNext w:val="1"/>
      <w:keepLines w:val="1"/>
      <w:spacing w:after="0" w:line="264" w:lineRule="auto"/>
    </w:pPr>
    <w:rPr>
      <w:b/>
      <w:sz w:val="26"/>
      <w:szCs w:val="26"/>
      <w:rFonts w:ascii="Pastiche Grotesque" w:hAnsi="Pastiche Grotesque" w:cs="Pastiche Grotesque" w:eastAsia="Pastiche Grotesque"/>
    </w:rPr>
  </w:style>
  <w:style w:type="paragraph" w:styleId="Heading2">
    <w:name w:val="heading 2"/>
    <w:basedOn w:val="Normal"/>
    <w:next w:val="Normal"/>
    <w:pPr>
      <w:keepNext w:val="1"/>
      <w:keepLines w:val="1"/>
      <w:spacing w:before="300" w:line="264" w:lineRule="auto" w:after="0"/>
    </w:pPr>
    <w:rPr>
      <w:color w:val="303333"/>
      <w:sz w:val="26"/>
      <w:szCs w:val="26"/>
      <w:rFonts w:ascii="Pastiche Grotesque" w:hAnsi="Pastiche Grotesque" w:cs="Pastiche Grotesque" w:eastAsia="Pastiche Grotesque"/>
    </w:rPr>
  </w:style>
  <w:style w:type="paragraph" w:styleId="Heading3">
    <w:name w:val="heading 3"/>
    <w:basedOn w:val="Normal"/>
    <w:next w:val="Normal"/>
    <w:pPr>
      <w:keepNext w:val="1"/>
      <w:keepLines w:val="1"/>
      <w:spacing w:before="300" w:line="264" w:lineRule="auto" w:after="0"/>
    </w:pPr>
    <w:rPr>
      <w:color w:val="303333"/>
      <w:sz w:val="26"/>
      <w:szCs w:val="26"/>
      <w:rFonts w:ascii="Pastiche Grotesque" w:hAnsi="Pastiche Grotesque" w:cs="Pastiche Grotesque" w:eastAsia="Pastiche Grotesque"/>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before="300" w:line="264" w:lineRule="auto"/>
    </w:pPr>
    <w:rPr>
      <w:color w:val="f66359"/>
      <w:sz w:val="32"/>
      <w:szCs w:val="32"/>
      <w:rFonts w:ascii="Switzer" w:hAnsi="Switzer" w:cs="Switzer" w:eastAsia="Switzer"/>
    </w:rPr>
  </w:style>
  <w:style w:type="paragraph" w:styleId="Subtitle">
    <w:name w:val="Subtitle"/>
    <w:basedOn w:val="Normal"/>
    <w:next w:val="Normal"/>
    <w:pPr>
      <w:keepNext w:val="1"/>
      <w:keepLines w:val="1"/>
      <w:spacing w:after="0" w:before="120" w:lineRule="auto"/>
    </w:pPr>
    <w:rPr>
      <w:sz w:val="26"/>
      <w:szCs w:val="26"/>
      <w:rFonts w:ascii="Pastiche Grotesque" w:hAnsi="Pastiche Grotesque" w:cs="Pastiche Grotesque" w:eastAsia="Pastiche Grotesqu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jpg"/><Relationship Id="rId8" Type="http://schemas.openxmlformats.org/officeDocument/2006/relationships/image" Target="media/image3.png"/><Relationship Id="rId9" Type="http://schemas.openxmlformats.org/officeDocument/2006/relationships/image" Target="media/image4.png"/></Relationships>
</file>

<file path=word/_rels/fontTable.xml.rels><?xml version="1.0" encoding="UTF-8"?><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