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jpeg" Extension="jpg"/>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r>
        <ns0:rPr>
          <ns0:rtl ns0:val="0"/>
        </ns0:rPr>
        <ns0:t xml:space="preserve">02.00 PARTNER SIGN-OFF</ns0:t>
      </ns0:r>
    </ns0:p>
    <ns0:p ns0:rsidR="00000000" ns0:rsidDel="00000000" ns0:rsidP="00000000" ns0:rsidRDefault="00000000" ns0:rsidRPr="00000000" ns1:paraId="00000002">
      <ns0:pPr>
        <ns0:rPr/>
      </ns0:pP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pPr>
      <ns0:bookmarkStart ns0:colFirst="0" ns0:colLast="0" ns0:name="_objective0200" ns0:id="1"/>
      <ns0:bookmarkEnd ns0:id="1"/>
      <ns0:r>
        <ns0:rPr>
          <ns0:rtl ns0:val="0"/>
        </ns0:rPr>
        <ns0:t xml:space="preserve">Objective</ns0:t>
      </ns0:r>
    </ns0:p>
    <ns0:p ns0:rsidR="00000000" ns0:rsidDel="00000000" ns0:rsidP="00000000" ns0:rsidRDefault="00000000" ns0:rsidRPr="00000000" ns1:paraId="00000005">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objective of this document is to provide the engagement partner with a consolidated summary of the audit engagement, including risk assessments at financial statement and assertion level, work program progress and conclusions for each significant class of transactions, account balance and disclosure (SCOTABD), fraud risk responses, and the engagement partner declaration, enabling the partner to review and sign off on the engagement prior to dating the auditor’s report.</ns0:t>
      </ns0:r>
    </ns0:p>
    <ns0:p ns0:rsidR="00000000" ns0:rsidDel="00000000" ns0:rsidP="00000000" ns0:rsidRDefault="00000000" ns0:rsidRPr="00000000" ns1:paraId="00000006">
      <ns0:pPr>
        <ns0:rPr/>
      </ns0:pPr>
    </ns0:p>
    <ns0:p ns0:rsidR="00000000" ns0:rsidDel="00000000" ns0:rsidP="00000000" ns0:rsidRDefault="00000000" ns0:rsidRPr="00000000" ns1:paraId="10000267">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268">
      <ns0:pPr>
        <ns0:numPr>
          <ns0:ilvl ns0:val="0"/>
          <ns0:numId ns0:val="1"/>
        </ns0:numPr>
        <ns0:ind ns0:left="360"/>
        <ns0:spacing ns0:before="0" ns0:after="0"/>
      </ns0:pPr>
      <ns0:r>
        <ns0:rPr>
          <ns0:b ns0:val="1"/>
          <ns0:bCs ns0:val="1"/>
          <ns0:rtl ns0:val="0"/>
        </ns0:rPr>
        <ns0:t xml:space="preserve">Engagement partner’s overall responsibility for audit quality (ISA 220)</ns0:t>
      </ns0:r>
    </ns0:p>
    <ns0:p ns0:rsidR="00000000" ns0:rsidDel="00000000" ns0:rsidP="00000000" ns0:rsidRDefault="00000000" ns0:rsidRPr="00000000" ns1:paraId="10000269">
      <ns0:pPr>
        <ns0:numPr>
          <ns0:ilvl ns0:val="0"/>
          <ns0:numId ns0:val="1"/>
        </ns0:numPr>
        <ns0:ind ns0:left="360"/>
        <ns0:spacing ns0:before="0" ns0:after="0"/>
      </ns0:pPr>
      <ns0:r>
        <ns0:rPr>
          <ns0:b ns0:val="1"/>
          <ns0:bCs ns0:val="1"/>
          <ns0:rtl ns0:val="0"/>
        </ns0:rPr>
        <ns0:t xml:space="preserve">Evaluation of risk assessments, conclusions, and audit opinion at financial statement level</ns0:t>
      </ns0:r>
    </ns0:p>
    <ns0:p ns0:rsidR="00000000" ns0:rsidDel="00000000" ns0:rsidP="00000000" ns0:rsidRDefault="00000000" ns0:rsidRPr="00000000" ns1:paraId="1000026A">
      <ns0:pPr>
        <ns0:numPr>
          <ns0:ilvl ns0:val="0"/>
          <ns0:numId ns0:val="1"/>
        </ns0:numPr>
        <ns0:ind ns0:left="360"/>
        <ns0:spacing ns0:before="0" ns0:after="0"/>
      </ns0:pPr>
      <ns0:r>
        <ns0:rPr>
          <ns0:b ns0:val="1"/>
          <ns0:bCs ns0:val="1"/>
          <ns0:rtl ns0:val="0"/>
        </ns0:rPr>
        <ns0:t xml:space="preserve">Final sign-off that authorises the release of the audit report</ns0:t>
      </ns0:r>
    </ns0:p>
    <ns0:p ns0:rsidR="00000000" ns0:rsidDel="00000000" ns0:rsidP="00000000" ns0:rsidRDefault="00000000" ns0:rsidRPr="00000000" ns1:paraId="1000026B">
      <ns0:pPr>
        <ns0:rPr/>
      </ns0:pPr>
    </ns0:p>
    <ns0:p ns0:rsidR="00000000" ns0:rsidDel="00000000" ns0:rsidP="00000000" ns0:rsidRDefault="00000000" ns0:rsidRPr="00000000" ns1:paraId="00000009">
      <ns0:pPr>
        <ns0:spacing ns0:after="0"/>
        <ns0:rPr/>
      </ns0:pPr>
      <ns0:bookmarkStart ns0:colFirst="0" ns0:colLast="0" ns0:name="_docplacement0200" ns0:id="2"/>
      <ns0:bookmarkEnd ns0:id="2"/>
      <ns0:r>
        <ns0:rPr>
          <ns0:rFonts ns0:ascii="Pastiche Grotesque" ns0:hAnsi="Pastiche Grotesque" ns0:cs="Pastiche Grotesque" ns0:eastAsia="Pastiche Grotesque"/>
          <ns0:b ns0:val="1"/>
          <ns0:color ns0:val="51626f"/>
          <ns0:sz ns0:val="26"/>
          <ns0:szCs ns0:val="26"/>
          <ns0:u ns0:val="none"/>
          <ns0:rtl ns0:val="0"/>
        </ns0:rPr>
        <ns0:t xml:space="preserve">Document placement</ns0:t>
      </ns0:r>
    </ns0:p>
    <ns0:p ns0:rsidR="00000000" ns0:rsidDel="00000000" ns0:rsidP="00000000" ns0:rsidRDefault="00000000" ns0:rsidRPr="00000000" ns1:paraId="0000000A">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Document 02.00 – Partner sign-off can be found in the Finalisation folder in the Caseware document manager.</ns0:t>
      </ns0:r>
    </ns0:p>
    <ns0:p ns0:rsidR="00AB0001" ns0:rsidRDefault="00AB0001">
      <ns0:pPr>
        <ns0:jc ns0:val="center"/>
        <ns0:rPr/>
      </ns0:pPr>
      <ns0:r>
        <ns0:rPr/>
        <ns0:drawing>
          <ns2:inline distT="0" distB="0" distL="0" distR="0">
            <ns2:extent cx="4572000" cy="3486459"/>
            <ns2:effectExtent l="0" t="0" r="0" b="0"/>
            <ns2:docPr id="901" name="Bookmark 02.00" descr="Bookmark placement for 02.00"/>
            <ns2:cNvGraphicFramePr>
              <ns3:graphicFrameLocks noChangeAspect="1"/>
            </ns2:cNvGraphicFramePr>
            <ns3:graphic>
              <ns3:graphicData uri="http://schemas.openxmlformats.org/drawingml/2006/picture">
                <ns4:pic>
                  <ns4:nvPicPr>
                    <ns4:cNvPr id="901" name="Bookmark 02.00" descr="Bookmark placement for 02.00"/>
                    <ns4:cNvPicPr/>
                  </ns4:nvPicPr>
                  <ns4:blipFill>
                    <ns3:blip ns5:embed="rId9"/>
                    <ns3:stretch>
                      <ns3:fillRect/>
                    </ns3:stretch>
                  </ns4:blipFill>
                  <ns4:spPr>
                    <ns3:xfrm>
                      <ns3:off x="0" y="0"/>
                      <ns3:ext cx="4572000" cy="3486459"/>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0C">
      <ns0:pPr>
        <ns0:pStyle ns0:val="Heading1"/>
      </ns0:pPr>
      <ns0:bookmarkStart ns0:colFirst="0" ns0:colLast="0" ns0:name="_doccontent0200" ns0:id="3"/>
      <ns0:bookmarkEnd ns0:id="3"/>
      <ns0:r>
        <ns0:rPr>
          <ns0:rtl ns0:val="0"/>
        </ns0:rPr>
        <ns0:t xml:space="preserve">Document content</ns0:t>
      </ns0:r>
    </ns0:p>
    <ns0:p ns0:rsidR="00000000" ns0:rsidDel="00000000" ns0:rsidP="00000000" ns0:rsidRDefault="00000000" ns0:rsidRPr="00000000" ns1:paraId="0000000D">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designed to be a CaseView summary document that consolidates key audit information from across the engagement file for the engagement partner’s review and sign-off. The document auto-populates risk assessments, work program progress, and conclusions from the relevant working papers in the engagement file. The engagement partner is required to review all sections and provide input where indicated, including partner comments, the engagement partner declaration, and the final sign-off.</ns0:t>
      </ns0:r>
    </ns0:p>
    <ns0:p ns0:rsidR="00000000" ns0:rsidDel="00000000" ns0:rsidP="00000000" ns0:rsidRDefault="00000000" ns0:rsidRPr="00000000" ns1:paraId="0000000E">
      <ns0:pPr>
        <ns0:rPr/>
      </ns0:pPr>
    </ns0:p>
    <ns0:p ns0:rsidR="00000000" ns0:rsidDel="00000000" ns0:rsidP="00000000" ns0:rsidRDefault="00000000" ns0:rsidRPr="00000000" ns1:paraId="0000000F">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addresses the requirements of ISA 220 (Quality Management for an Audit of Financial Statements), ISA 240 (The Auditor’s Responsibilities Relating to Fraud in an Audit of Financial Statements), and ISA 700 (Forming an Opinion and Reporting on Financial Statements).</ns0:t>
      </ns0:r>
    </ns0:p>
    <ns0:p ns0:rsidR="00000000" ns0:rsidDel="00000000" ns0:rsidP="00000000" ns0:rsidRDefault="00000000" ns0:rsidRPr="00000000" ns1:paraId="00000010">
      <ns0:pPr>
        <ns0:rPr/>
      </ns0:pPr>
    </ns0:p>
    <ns0:p ns0:rsidR="00000000" ns0:rsidDel="00000000" ns0:rsidP="00000000" ns0:rsidRDefault="00000000" ns0:rsidRPr="00000000" ns1:paraId="00000011">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divided into different bookmarks in the document map to assist you in reviewing and signing off on the audit engagement:</ns0:t>
      </ns0:r>
    </ns0:p>
    <ns0:p ns0:rsidR="00000000" ns0:rsidDel="00000000" ns0:rsidP="00000000" ns0:rsidRDefault="00000000" ns0:rsidRPr="00000000" ns1:paraId="00000012">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Summary at financial statement level</ns0:t>
      </ns0:r>
    </ns0:p>
    <ns0:p ns0:rsidR="00000000" ns0:rsidDel="00000000" ns0:rsidP="00000000" ns0:rsidRDefault="00000000" ns0:rsidRPr="00000000" ns1:paraId="00000013">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Fraud risk</ns0:t>
      </ns0:r>
    </ns0:p>
    <ns0:p ns0:rsidR="00000000" ns0:rsidDel="00000000" ns0:rsidP="00000000" ns0:rsidRDefault="00000000" ns0:rsidRPr="00000000" ns1:paraId="00000014">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Work program sign-off sections (Accounting records, Opening balances and comparatives, Financial statement preparation, Laws and regulations)</ns0:t>
      </ns0:r>
    </ns0:p>
    <ns0:p ns0:rsidR="00000000" ns0:rsidDel="00000000" ns0:rsidP="00000000" ns0:rsidRDefault="00000000" ns0:rsidRPr="00000000" ns1:paraId="00000015">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Summary at assertion level (per SCOTABD)</ns0:t>
      </ns0:r>
    </ns0:p>
    <ns0:p ns0:rsidR="00000000" ns0:rsidDel="00000000" ns0:rsidP="00000000" ns0:rsidRDefault="00000000" ns0:rsidRPr="00000000" ns1:paraId="00000016">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Engagement partner declaration</ns0:t>
      </ns0:r>
    </ns0:p>
    <ns0:p ns0:rsidR="00000000" ns0:rsidDel="00000000" ns0:rsidP="00000000" ns0:rsidRDefault="00000000" ns0:rsidRPr="00000000" ns1:paraId="00000017">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Partner sign-off</ns0:t>
      </ns0:r>
    </ns0:p>
    <ns0:p ns0:rsidR="00000000" ns0:rsidDel="00000000" ns0:rsidP="00000000" ns0:rsidRDefault="00000000" ns0:rsidRPr="00000000" ns1:paraId="00000018">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Engagement partner</ns0:t>
      </ns0:r>
    </ns0:p>
    <ns0:p ns0:rsidR="00AB0002" ns0:rsidRDefault="00AB0002">
      <ns0:pPr>
        <ns0:jc ns0:val="center"/>
        <ns0:rPr/>
      </ns0:pPr>
      <ns0:r>
        <ns0:rPr/>
        <ns0:drawing>
          <ns2:inline distT="0" distB="0" distL="0" distR="0">
            <ns2:extent cx="4572000" cy="4141620"/>
            <ns2:effectExtent l="0" t="0" r="0" b="0"/>
            <ns2:docPr id="902" name="CaseView 02.00" descr="CaseView document map for 02.00"/>
            <ns2:cNvGraphicFramePr>
              <ns3:graphicFrameLocks noChangeAspect="1"/>
            </ns2:cNvGraphicFramePr>
            <ns3:graphic>
              <ns3:graphicData uri="http://schemas.openxmlformats.org/drawingml/2006/picture">
                <ns4:pic>
                  <ns4:nvPicPr>
                    <ns4:cNvPr id="902" name="CaseView 02.00" descr="CaseView document map for 02.00"/>
                    <ns4:cNvPicPr/>
                  </ns4:nvPicPr>
                  <ns4:blipFill>
                    <ns3:blip ns5:embed="rId10"/>
                    <ns3:stretch>
                      <ns3:fillRect/>
                    </ns3:stretch>
                  </ns4:blipFill>
                  <ns4:spPr>
                    <ns3:xfrm>
                      <ns3:off x="0" y="0"/>
                      <ns3:ext cx="4572000" cy="4141620"/>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1A">
      <ns0:pPr>
        <ns0:pStyle ns0:val="Heading1"/>
      </ns0:pPr>
      <ns0:bookmarkStart ns0:colFirst="0" ns0:colLast="0" ns0:name="_layout0200" ns0:id="4"/>
      <ns0:bookmarkEnd ns0:id="4"/>
      <ns0:r>
        <ns0:rPr>
          <ns0:rtl ns0:val="0"/>
        </ns0:rPr>
        <ns0:t xml:space="preserve">Layout</ns0:t>
      </ns0:r>
    </ns0:p>
    <ns0:tbl>
      <ns0:tblPr>
        <ns0:tblStyle ns0:val="TableGrid"/>
        <ns0:tblW ns0:w="1011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Pr>
      <ns0:tblGrid>
        <ns0:gridCol ns0:w="2580"/>
        <ns0:gridCol ns0:w="3645"/>
        <ns0:gridCol ns0:w="3885"/>
      </ns0:tblGrid>
      <ns0:tr ns1:paraId="0000001B">
        <ns0:tc>
          <ns0:tcPr>
            <ns0:tcW ns0:w="2580" ns0:type="dxa"/>
          </ns0:tcPr>
          <ns0:p ns1:paraId="0000001C">
            <ns0:pPr>
              <ns0:rPr>
                <ns0:b ns0:val="1"/>
                <ns0:color ns0:val="FFFFFF"/>
              </ns0:rPr>
            </ns0:pPr>
            <ns0:r>
              <ns0:rPr>
                <ns0:b ns0:val="1"/>
              </ns0:rPr>
              <ns0:t>Column</ns0:t>
            </ns0:r>
          </ns0:p>
        </ns0:tc>
        <ns0:tc>
          <ns0:tcPr>
            <ns0:tcW ns0:w="3645" ns0:type="dxa"/>
          </ns0:tcPr>
          <ns0:p ns1:paraId="0000001D">
            <ns0:pPr>
              <ns0:rPr>
                <ns0:b ns0:val="1"/>
                <ns0:color ns0:val="FFFFFF"/>
              </ns0:rPr>
            </ns0:pPr>
            <ns0:r>
              <ns0:rPr>
                <ns0:b ns0:val="1"/>
              </ns0:rPr>
              <ns0:t>Input Required</ns0:t>
            </ns0:r>
          </ns0:p>
        </ns0:tc>
        <ns0:tc>
          <ns0:tcPr>
            <ns0:tcW ns0:w="3885" ns0:type="dxa"/>
          </ns0:tcPr>
          <ns0:p ns1:paraId="0000001E">
            <ns0:pPr>
              <ns0:rPr>
                <ns0:b ns0:val="1"/>
                <ns0:color ns0:val="FFFFFF"/>
              </ns0:rPr>
            </ns0:pPr>
            <ns0:r>
              <ns0:rPr>
                <ns0:b ns0:val="1"/>
              </ns0:rPr>
              <ns0:t>Outcome</ns0:t>
            </ns0:r>
          </ns0:p>
        </ns0:tc>
      </ns0:tr>
      <ns0:tr ns1:paraId="0000001F">
        <ns0:tc>
          <ns0:tcPr>
            <ns0:tcW ns0:w="10110" ns0:type="dxa"/>
            <ns0:gridSpan ns0:val="3"/>
          </ns0:tcPr>
          <ns0:p ns1:paraId="00000020">
            <ns0:pPr>
              <ns0:jc ns0:val="center"/>
              <ns0:rPr>
                <ns0:b ns0:val="1"/>
                <ns0:color ns0:val="FFFFFF"/>
              </ns0:rPr>
            </ns0:pPr>
            <ns0:r>
              <ns0:rPr>
                <ns0:b ns0:val="1"/>
              </ns0:rPr>
              <ns0:t>Summary at financial statement level</ns0:t>
            </ns0:r>
          </ns0:p>
        </ns0:tc>
      </ns0:tr>
      <ns0:tr ns1:paraId="00000021">
        <ns0:tc>
          <ns0:tcPr>
            <ns0:tcW ns0:w="2580" ns0:type="dxa"/>
          </ns0:tcPr>
          <ns0:p ns1:paraId="00000022">
            <ns0:pPr>
              <ns0:rPr>
                <ns0:b ns0:val="1"/>
              </ns0:rPr>
            </ns0:pPr>
            <ns0:r>
              <ns0:rPr>
                <ns0:b ns0:val="1"/>
              </ns0:rPr>
              <ns0:t>Inherent risk at financial statement level</ns0:t>
            </ns0:r>
          </ns0:p>
        </ns0:tc>
        <ns0:tc>
          <ns0:tcPr>
            <ns0:tcW ns0:w="3645" ns0:type="dxa"/>
          </ns0:tcPr>
          <ns0:p ns1:paraId="00000023">
            <ns0:r>
              <ns0:t xml:space="preserve">No input required. Auto-populated from 11.20 – Inherent risk assessment.</ns0:t>
            </ns0:r>
          </ns0:p>
        </ns0:tc>
        <ns0:tc>
          <ns0:tcPr>
            <ns0:tcW ns0:w="3885" ns0:type="dxa"/>
          </ns0:tcPr>
          <ns0:p ns1:paraId="00000024">
            <ns0:r>
              <ns0:t xml:space="preserve">No impact on the engagement file. Displays the assessed inherent risk at financial statement level for the partner’s review.</ns0:t>
            </ns0:r>
          </ns0:p>
        </ns0:tc>
      </ns0:tr>
      <ns0:tr ns1:paraId="00000025">
        <ns0:tc>
          <ns0:tcPr>
            <ns0:tcW ns0:w="2580" ns0:type="dxa"/>
          </ns0:tcPr>
          <ns0:p ns1:paraId="00000026">
            <ns0:pPr>
              <ns0:rPr>
                <ns0:b ns0:val="1"/>
              </ns0:rPr>
            </ns0:pPr>
            <ns0:r>
              <ns0:rPr>
                <ns0:b ns0:val="1"/>
              </ns0:rPr>
              <ns0:t>Control risk at financial statement level</ns0:t>
            </ns0:r>
          </ns0:p>
        </ns0:tc>
        <ns0:tc>
          <ns0:tcPr>
            <ns0:tcW ns0:w="3645" ns0:type="dxa"/>
          </ns0:tcPr>
          <ns0:p ns1:paraId="00000027">
            <ns0:r>
              <ns0:t xml:space="preserve">No input required. Auto-populated from 11.30 – Evaluation of system of internal control.</ns0:t>
            </ns0:r>
          </ns0:p>
        </ns0:tc>
        <ns0:tc>
          <ns0:tcPr>
            <ns0:tcW ns0:w="3885" ns0:type="dxa"/>
          </ns0:tcPr>
          <ns0:p ns1:paraId="00000028">
            <ns0:r>
              <ns0:t xml:space="preserve">No impact on the engagement file. Displays the assessed control risk at financial statement level for the partner’s review.</ns0:t>
            </ns0:r>
          </ns0:p>
        </ns0:tc>
      </ns0:tr>
      <ns0:tr ns1:paraId="00000029">
        <ns0:tc>
          <ns0:tcPr>
            <ns0:tcW ns0:w="2580" ns0:type="dxa"/>
          </ns0:tcPr>
          <ns0:p ns1:paraId="0000002A">
            <ns0:pPr>
              <ns0:rPr>
                <ns0:b ns0:val="1"/>
              </ns0:rPr>
            </ns0:pPr>
            <ns0:r>
              <ns0:rPr>
                <ns0:b ns0:val="1"/>
              </ns0:rPr>
              <ns0:t>Fraud risk at financial statement level</ns0:t>
            </ns0:r>
          </ns0:p>
        </ns0:tc>
        <ns0:tc>
          <ns0:tcPr>
            <ns0:tcW ns0:w="3645" ns0:type="dxa"/>
          </ns0:tcPr>
          <ns0:p ns1:paraId="0000002B">
            <ns0:r>
              <ns0:t xml:space="preserve">No input required. Auto-populated from 11.25 – Fraud risk assessment.</ns0:t>
            </ns0:r>
          </ns0:p>
        </ns0:tc>
        <ns0:tc>
          <ns0:tcPr>
            <ns0:tcW ns0:w="3885" ns0:type="dxa"/>
          </ns0:tcPr>
          <ns0:p ns1:paraId="0000002C">
            <ns0:r>
              <ns0:t xml:space="preserve">No impact on the engagement file. Displays the assessed fraud risk at financial statement level for the partner’s review.</ns0:t>
            </ns0:r>
          </ns0:p>
        </ns0:tc>
      </ns0:tr>
      <ns0:tr ns1:paraId="0000002D">
        <ns0:tc>
          <ns0:tcPr>
            <ns0:tcW ns0:w="10110" ns0:type="dxa"/>
            <ns0:gridSpan ns0:val="3"/>
          </ns0:tcPr>
          <ns0:p ns1:paraId="0000002E">
            <ns0:pPr>
              <ns0:jc ns0:val="center"/>
              <ns0:rPr>
                <ns0:b ns0:val="1"/>
                <ns0:color ns0:val="FFFFFF"/>
              </ns0:rPr>
            </ns0:pPr>
            <ns0:r>
              <ns0:rPr>
                <ns0:b ns0:val="1"/>
              </ns0:rPr>
              <ns0:t>Fraud risk</ns0:t>
            </ns0:r>
          </ns0:p>
        </ns0:tc>
      </ns0:tr>
      <ns0:tr ns1:paraId="0000002F">
        <ns0:tc>
          <ns0:tcPr>
            <ns0:tcW ns0:w="2580" ns0:type="dxa"/>
          </ns0:tcPr>
          <ns0:p ns1:paraId="00000030">
            <ns0:pPr>
              <ns0:rPr>
                <ns0:b ns0:val="1"/>
              </ns0:rPr>
            </ns0:pPr>
            <ns0:r>
              <ns0:rPr>
                <ns0:b ns0:val="1"/>
              </ns0:rPr>
              <ns0:t>Risks requiring special attention</ns0:t>
            </ns0:r>
          </ns0:p>
        </ns0:tc>
        <ns0:tc>
          <ns0:tcPr>
            <ns0:tcW ns0:w="3645" ns0:type="dxa"/>
          </ns0:tcPr>
          <ns0:p ns1:paraId="00000031">
            <ns0:r>
              <ns0:t xml:space="preserve">No input required. Auto-populated from the fraud risk assessment. Displays fraud risks requiring special attention, including management override of controls (ISA 240.31) and fraud in revenue recognition (ISA 240.26) per revenue stream.</ns0:t>
            </ns0:r>
          </ns0:p>
        </ns0:tc>
        <ns0:tc>
          <ns0:tcPr>
            <ns0:tcW ns0:w="3885" ns0:type="dxa"/>
          </ns0:tcPr>
          <ns0:p ns1:paraId="00000032">
            <ns0:r>
              <ns0:t xml:space="preserve">No impact on the engagement file. Displays the fraud risks for the partner’s review.</ns0:t>
            </ns0:r>
          </ns0:p>
        </ns0:tc>
      </ns0:tr>
      <ns0:tr ns1:paraId="00000033">
        <ns0:tc>
          <ns0:tcPr>
            <ns0:tcW ns0:w="2580" ns0:type="dxa"/>
          </ns0:tcPr>
          <ns0:p ns1:paraId="00000034">
            <ns0:pPr>
              <ns0:rPr>
                <ns0:b ns0:val="1"/>
              </ns0:rPr>
            </ns0:pPr>
            <ns0:r>
              <ns0:rPr>
                <ns0:b ns0:val="1"/>
              </ns0:rPr>
              <ns0:t>Response</ns0:t>
            </ns0:r>
          </ns0:p>
        </ns0:tc>
        <ns0:tc>
          <ns0:tcPr>
            <ns0:tcW ns0:w="3645" ns0:type="dxa"/>
          </ns0:tcPr>
          <ns0:p ns1:paraId="00000035">
            <ns0:r>
              <ns0:t xml:space="preserve">No input required. The response to each identified fraud risk is auto-populated from the relevant working papers.</ns0:t>
            </ns0:r>
          </ns0:p>
        </ns0:tc>
        <ns0:tc>
          <ns0:tcPr>
            <ns0:tcW ns0:w="3885" ns0:type="dxa"/>
          </ns0:tcPr>
          <ns0:p ns1:paraId="00000036">
            <ns0:r>
              <ns0:t xml:space="preserve">No impact on the engagement file. Displays the audit response to the fraud risk for the partner’s review.</ns0:t>
            </ns0:r>
          </ns0:p>
        </ns0:tc>
      </ns0:tr>
      <ns0:tr ns1:paraId="00000037">
        <ns0:tc>
          <ns0:tcPr>
            <ns0:tcW ns0:w="2580" ns0:type="dxa"/>
          </ns0:tcPr>
          <ns0:p ns1:paraId="00000038">
            <ns0:pPr>
              <ns0:rPr>
                <ns0:b ns0:val="1"/>
              </ns0:rPr>
            </ns0:pPr>
            <ns0:r>
              <ns0:rPr>
                <ns0:b ns0:val="1"/>
              </ns0:rPr>
              <ns0:t>Significant risk</ns0:t>
            </ns0:r>
          </ns0:p>
        </ns0:tc>
        <ns0:tc>
          <ns0:tcPr>
            <ns0:tcW ns0:w="3645" ns0:type="dxa"/>
          </ns0:tcPr>
          <ns0:p ns1:paraId="00000039">
            <ns0:r>
              <ns0:t xml:space="preserve">No input required. Indicates whether the fraud risk has been identified as a significant risk.</ns0:t>
            </ns0:r>
          </ns0:p>
        </ns0:tc>
        <ns0:tc>
          <ns0:tcPr>
            <ns0:tcW ns0:w="3885" ns0:type="dxa"/>
          </ns0:tcPr>
          <ns0:p ns1:paraId="0000003A">
            <ns0:r>
              <ns0:t xml:space="preserve">No impact on the engagement file.</ns0:t>
            </ns0:r>
          </ns0:p>
        </ns0:tc>
      </ns0:tr>
      <ns0:tr ns1:paraId="0000003B">
        <ns0:tc>
          <ns0:tcPr>
            <ns0:tcW ns0:w="2580" ns0:type="dxa"/>
          </ns0:tcPr>
          <ns0:p ns1:paraId="0000003C">
            <ns0:pPr>
              <ns0:rPr>
                <ns0:b ns0:val="1"/>
              </ns0:rPr>
            </ns0:pPr>
            <ns0:r>
              <ns0:rPr>
                <ns0:b ns0:val="1"/>
              </ns0:rPr>
              <ns0:t>Conclusion</ns0:t>
            </ns0:r>
          </ns0:p>
        </ns0:tc>
        <ns0:tc>
          <ns0:tcPr>
            <ns0:tcW ns0:w="3645" ns0:type="dxa"/>
          </ns0:tcPr>
          <ns0:p ns1:paraId="0000003D">
            <ns0:r>
              <ns0:t xml:space="preserve">No input required. The conclusion on each fraud risk is auto-populated from the relevant working papers.</ns0:t>
            </ns0:r>
          </ns0:p>
        </ns0:tc>
        <ns0:tc>
          <ns0:tcPr>
            <ns0:tcW ns0:w="3885" ns0:type="dxa"/>
          </ns0:tcPr>
          <ns0:p ns1:paraId="0000003E">
            <ns0:r>
              <ns0:t xml:space="preserve">No impact on the engagement file.</ns0:t>
            </ns0:r>
          </ns0:p>
        </ns0:tc>
      </ns0:tr>
      <ns0:tr ns1:paraId="0000003F">
        <ns0:tc>
          <ns0:tcPr>
            <ns0:tcW ns0:w="2580" ns0:type="dxa"/>
          </ns0:tcPr>
          <ns0:p ns1:paraId="00000040">
            <ns0:pPr>
              <ns0:rPr>
                <ns0:b ns0:val="1"/>
              </ns0:rPr>
            </ns0:pPr>
            <ns0:r>
              <ns0:rPr>
                <ns0:b ns0:val="1"/>
              </ns0:rPr>
              <ns0:t>Partner comment</ns0:t>
            </ns0:r>
          </ns0:p>
        </ns0:tc>
        <ns0:tc>
          <ns0:tcPr>
            <ns0:tcW ns0:w="3645" ns0:type="dxa"/>
          </ns0:tcPr>
          <ns0:p ns1:paraId="00000041">
            <ns0:r>
              <ns0:t xml:space="preserve">Enter any comments or observations relating to the fraud risk section.</ns0:t>
            </ns0:r>
          </ns0:p>
        </ns0:tc>
        <ns0:tc>
          <ns0:tcPr>
            <ns0:tcW ns0:w="3885" ns0:type="dxa"/>
          </ns0:tcPr>
          <ns0:p ns1:paraId="00000042">
            <ns0:r>
              <ns0:t xml:space="preserve">No impact on the engagement file. Documents the partner’s comments for the engagement file.</ns0:t>
            </ns0:r>
          </ns0:p>
        </ns0:tc>
      </ns0:tr>
      <ns0:tr ns1:paraId="00000043">
        <ns0:tc>
          <ns0:tcPr>
            <ns0:tcW ns0:w="10110" ns0:type="dxa"/>
            <ns0:gridSpan ns0:val="3"/>
          </ns0:tcPr>
          <ns0:p ns1:paraId="00000044">
            <ns0:pPr>
              <ns0:jc ns0:val="center"/>
              <ns0:rPr>
                <ns0:b ns0:val="1"/>
                <ns0:color ns0:val="FFFFFF"/>
              </ns0:rPr>
            </ns0:pPr>
            <ns0:r>
              <ns0:rPr>
                <ns0:b ns0:val="1"/>
              </ns0:rPr>
              <ns0:t>Work program sign-off sections</ns0:t>
            </ns0:r>
          </ns0:p>
        </ns0:tc>
      </ns0:tr>
      <ns0:tr ns1:paraId="00000045">
        <ns0:tc>
          <ns0:tcPr>
            <ns0:tcW ns0:w="2580" ns0:type="dxa"/>
          </ns0:tcPr>
          <ns0:p ns1:paraId="00000046">
            <ns0:pPr>
              <ns0:rPr>
                <ns0:b ns0:val="1"/>
              </ns0:rPr>
            </ns0:pPr>
            <ns0:r>
              <ns0:rPr>
                <ns0:b ns0:val="1"/>
              </ns0:rPr>
              <ns0:t>Work program progress</ns0:t>
            </ns0:r>
          </ns0:p>
        </ns0:tc>
        <ns0:tc>
          <ns0:tcPr>
            <ns0:tcW ns0:w="3645" ns0:type="dxa"/>
          </ns0:tcPr>
          <ns0:p ns1:paraId="00000047">
            <ns0:r>
              <ns0:t xml:space="preserve">No input required. The work program progress (Complete and Exceptions totals) is auto-populated from the relevant work program for each section: Accounting records (16.10), Opening balances and comparatives (17.10), Financial statement preparation (18.10), and Laws and regulations (20.10).</ns0:t>
            </ns0:r>
          </ns0:p>
        </ns0:tc>
        <ns0:tc>
          <ns0:tcPr>
            <ns0:tcW ns0:w="3885" ns0:type="dxa"/>
          </ns0:tcPr>
          <ns0:p ns1:paraId="00000048">
            <ns0:r>
              <ns0:t xml:space="preserve">No impact on the engagement file. Displays completion status for the partner’s review.</ns0:t>
            </ns0:r>
          </ns0:p>
        </ns0:tc>
      </ns0:tr>
      <ns0:tr ns1:paraId="00000049">
        <ns0:tc>
          <ns0:tcPr>
            <ns0:tcW ns0:w="2580" ns0:type="dxa"/>
          </ns0:tcPr>
          <ns0:p ns1:paraId="0000004A">
            <ns0:pPr>
              <ns0:rPr>
                <ns0:b ns0:val="1"/>
              </ns0:rPr>
            </ns0:pPr>
            <ns0:r>
              <ns0:rPr>
                <ns0:b ns0:val="1"/>
              </ns0:rPr>
              <ns0:t>Work program conclusion</ns0:t>
            </ns0:r>
          </ns0:p>
        </ns0:tc>
        <ns0:tc>
          <ns0:tcPr>
            <ns0:tcW ns0:w="3645" ns0:type="dxa"/>
          </ns0:tcPr>
          <ns0:p ns1:paraId="0000004B">
            <ns0:r>
              <ns0:t xml:space="preserve">No input required. The conclusion is auto-populated from the relevant work program.</ns0:t>
            </ns0:r>
          </ns0:p>
        </ns0:tc>
        <ns0:tc>
          <ns0:tcPr>
            <ns0:tcW ns0:w="3885" ns0:type="dxa"/>
          </ns0:tcPr>
          <ns0:p ns1:paraId="0000004C">
            <ns0:r>
              <ns0:t xml:space="preserve">No impact on the engagement file. Displays the work program conclusion for the partner’s review.</ns0:t>
            </ns0:r>
          </ns0:p>
        </ns0:tc>
      </ns0:tr>
      <ns0:tr ns1:paraId="0000004D">
        <ns0:tc>
          <ns0:tcPr>
            <ns0:tcW ns0:w="2580" ns0:type="dxa"/>
          </ns0:tcPr>
          <ns0:p ns1:paraId="0000004E">
            <ns0:pPr>
              <ns0:rPr>
                <ns0:b ns0:val="1"/>
              </ns0:rPr>
            </ns0:pPr>
            <ns0:r>
              <ns0:rPr>
                <ns0:b ns0:val="1"/>
              </ns0:rPr>
              <ns0:t>Work program sign-off</ns0:t>
            </ns0:r>
          </ns0:p>
        </ns0:tc>
        <ns0:tc>
          <ns0:tcPr>
            <ns0:tcW ns0:w="3645" ns0:type="dxa"/>
          </ns0:tcPr>
          <ns0:p ns1:paraId="0000004F">
            <ns0:r>
              <ns0:t xml:space="preserve">No input required. The sign-off details (Planning by, Reviewed by, Performed by, Final review) are auto-populated from the relevant work program.</ns0:t>
            </ns0:r>
          </ns0:p>
        </ns0:tc>
        <ns0:tc>
          <ns0:tcPr>
            <ns0:tcW ns0:w="3885" ns0:type="dxa"/>
          </ns0:tcPr>
          <ns0:p ns1:paraId="00000050">
            <ns0:r>
              <ns0:t xml:space="preserve">No impact on the engagement file. Displays the sign-off status for the partner’s review.</ns0:t>
            </ns0:r>
          </ns0:p>
        </ns0:tc>
      </ns0:tr>
      <ns0:tr ns1:paraId="00000051">
        <ns0:tc>
          <ns0:tcPr>
            <ns0:tcW ns0:w="2580" ns0:type="dxa"/>
          </ns0:tcPr>
          <ns0:p ns1:paraId="00000052">
            <ns0:pPr>
              <ns0:rPr>
                <ns0:b ns0:val="1"/>
              </ns0:rPr>
            </ns0:pPr>
            <ns0:r>
              <ns0:rPr>
                <ns0:b ns0:val="1"/>
              </ns0:rPr>
              <ns0:t>Partner comment</ns0:t>
            </ns0:r>
          </ns0:p>
        </ns0:tc>
        <ns0:tc>
          <ns0:tcPr>
            <ns0:tcW ns0:w="3645" ns0:type="dxa"/>
          </ns0:tcPr>
          <ns0:p ns1:paraId="00000053">
            <ns0:r>
              <ns0:t xml:space="preserve">Enter any comments or observations relating to the work program section.</ns0:t>
            </ns0:r>
          </ns0:p>
        </ns0:tc>
        <ns0:tc>
          <ns0:tcPr>
            <ns0:tcW ns0:w="3885" ns0:type="dxa"/>
          </ns0:tcPr>
          <ns0:p ns1:paraId="00000054">
            <ns0:r>
              <ns0:t xml:space="preserve">No impact on the engagement file. Documents the partner’s comments for the engagement file.</ns0:t>
            </ns0:r>
          </ns0:p>
        </ns0:tc>
      </ns0:tr>
      <ns0:tr ns1:paraId="00000055">
        <ns0:tc>
          <ns0:tcPr>
            <ns0:tcW ns0:w="10110" ns0:type="dxa"/>
            <ns0:gridSpan ns0:val="3"/>
          </ns0:tcPr>
          <ns0:p ns1:paraId="00000056">
            <ns0:pPr>
              <ns0:jc ns0:val="center"/>
              <ns0:rPr>
                <ns0:b ns0:val="1"/>
                <ns0:color ns0:val="FFFFFF"/>
              </ns0:rPr>
            </ns0:pPr>
            <ns0:r>
              <ns0:rPr>
                <ns0:b ns0:val="1"/>
              </ns0:rPr>
              <ns0:t>Summary at assertion level (per SCOTABD)</ns0:t>
            </ns0:r>
          </ns0:p>
        </ns0:tc>
      </ns0:tr>
      <ns0:tr ns1:paraId="00000057">
        <ns0:tc>
          <ns0:tcPr>
            <ns0:tcW ns0:w="2580" ns0:type="dxa"/>
          </ns0:tcPr>
          <ns0:p ns1:paraId="00000058">
            <ns0:pPr>
              <ns0:rPr>
                <ns0:b ns0:val="1"/>
              </ns0:rPr>
            </ns0:pPr>
            <ns0:r>
              <ns0:rPr>
                <ns0:b ns0:val="1"/>
              </ns0:rPr>
              <ns0:t>Assertion level</ns0:t>
            </ns0:r>
          </ns0:p>
        </ns0:tc>
        <ns0:tc>
          <ns0:tcPr>
            <ns0:tcW ns0:w="3645" ns0:type="dxa"/>
          </ns0:tcPr>
          <ns0:p ns1:paraId="00000059">
            <ns0:r>
              <ns0:t xml:space="preserve">No input required. For each SCOTABD, the assertion level data is auto-populated and displays the inherent risk assessment and risk of material misstatement across the assertions: Completeness (C), Existence/Occurrence (EO), Rights and Obligations (RO), Accuracy, Valuation and Allocation (AVA), Cut-off (CO), and Presentation and Disclosure (PD).</ns0:t>
            </ns0:r>
          </ns0:p>
        </ns0:tc>
        <ns0:tc>
          <ns0:tcPr>
            <ns0:tcW ns0:w="3885" ns0:type="dxa"/>
          </ns0:tcPr>
          <ns0:p ns1:paraId="0000005A">
            <ns0:r>
              <ns0:t xml:space="preserve">No impact on the engagement file. Displays the risk assessment per assertion for the partner’s review.</ns0:t>
            </ns0:r>
          </ns0:p>
        </ns0:tc>
      </ns0:tr>
      <ns0:tr ns1:paraId="0000005B">
        <ns0:tc>
          <ns0:tcPr>
            <ns0:tcW ns0:w="2580" ns0:type="dxa"/>
          </ns0:tcPr>
          <ns0:p ns1:paraId="0000005C">
            <ns0:pPr>
              <ns0:rPr>
                <ns0:b ns0:val="1"/>
              </ns0:rPr>
            </ns0:pPr>
            <ns0:r>
              <ns0:rPr>
                <ns0:b ns0:val="1"/>
              </ns0:rPr>
              <ns0:t>Assertion selected for testing</ns0:t>
            </ns0:r>
          </ns0:p>
        </ns0:tc>
        <ns0:tc>
          <ns0:tcPr>
            <ns0:tcW ns0:w="3645" ns0:type="dxa"/>
          </ns0:tcPr>
          <ns0:p ns1:paraId="0000005D">
            <ns0:r>
              <ns0:t xml:space="preserve">No input required. Displays which assertions have been selected for testing per SCOTABD, as determined in the audit plan.</ns0:t>
            </ns0:r>
          </ns0:p>
        </ns0:tc>
        <ns0:tc>
          <ns0:tcPr>
            <ns0:tcW ns0:w="3885" ns0:type="dxa"/>
          </ns0:tcPr>
          <ns0:p ns1:paraId="0000005E">
            <ns0:r>
              <ns0:t xml:space="preserve">No impact on the engagement file.</ns0:t>
            </ns0:r>
          </ns0:p>
        </ns0:tc>
      </ns0:tr>
      <ns0:tr ns1:paraId="0000005F">
        <ns0:tc>
          <ns0:tcPr>
            <ns0:tcW ns0:w="2580" ns0:type="dxa"/>
          </ns0:tcPr>
          <ns0:p ns1:paraId="00000060">
            <ns0:pPr>
              <ns0:rPr>
                <ns0:b ns0:val="1"/>
              </ns0:rPr>
            </ns0:pPr>
            <ns0:r>
              <ns0:rPr>
                <ns0:b ns0:val="1"/>
              </ns0:rPr>
              <ns0:t>Work program progress</ns0:t>
            </ns0:r>
          </ns0:p>
        </ns0:tc>
        <ns0:tc>
          <ns0:tcPr>
            <ns0:tcW ns0:w="3645" ns0:type="dxa"/>
          </ns0:tcPr>
          <ns0:p ns1:paraId="00000061">
            <ns0:r>
              <ns0:t xml:space="preserve">No input required. The work program progress per assertion (Complete and Exceptions) is auto-populated from the relevant SCOTABD work program.</ns0:t>
            </ns0:r>
          </ns0:p>
        </ns0:tc>
        <ns0:tc>
          <ns0:tcPr>
            <ns0:tcW ns0:w="3885" ns0:type="dxa"/>
          </ns0:tcPr>
          <ns0:p ns1:paraId="00000062">
            <ns0:r>
              <ns0:t xml:space="preserve">No impact on the engagement file. Displays completion status per assertion for the partner’s review.</ns0:t>
            </ns0:r>
          </ns0:p>
        </ns0:tc>
      </ns0:tr>
      <ns0:tr ns1:paraId="00000063">
        <ns0:tc>
          <ns0:tcPr>
            <ns0:tcW ns0:w="2580" ns0:type="dxa"/>
          </ns0:tcPr>
          <ns0:p ns1:paraId="00000064">
            <ns0:pPr>
              <ns0:rPr>
                <ns0:b ns0:val="1"/>
              </ns0:rPr>
            </ns0:pPr>
            <ns0:r>
              <ns0:rPr>
                <ns0:b ns0:val="1"/>
              </ns0:rPr>
              <ns0:t>Work program conclusion</ns0:t>
            </ns0:r>
          </ns0:p>
        </ns0:tc>
        <ns0:tc>
          <ns0:tcPr>
            <ns0:tcW ns0:w="3645" ns0:type="dxa"/>
          </ns0:tcPr>
          <ns0:p ns1:paraId="00000065">
            <ns0:r>
              <ns0:t xml:space="preserve">No input required. Displays the estimated audit risk remaining, desired audit risk, and conclusion per SCOTABD, auto-populated from the relevant work program.</ns0:t>
            </ns0:r>
          </ns0:p>
        </ns0:tc>
        <ns0:tc>
          <ns0:tcPr>
            <ns0:tcW ns0:w="3885" ns0:type="dxa"/>
          </ns0:tcPr>
          <ns0:p ns1:paraId="00000066">
            <ns0:r>
              <ns0:t xml:space="preserve">No impact on the engagement file. Displays the audit conclusion per SCOTABD for the partner’s review.</ns0:t>
            </ns0:r>
          </ns0:p>
        </ns0:tc>
      </ns0:tr>
      <ns0:tr ns1:paraId="00000067">
        <ns0:tc>
          <ns0:tcPr>
            <ns0:tcW ns0:w="2580" ns0:type="dxa"/>
          </ns0:tcPr>
          <ns0:p ns1:paraId="00000068">
            <ns0:pPr>
              <ns0:rPr>
                <ns0:b ns0:val="1"/>
              </ns0:rPr>
            </ns0:pPr>
            <ns0:r>
              <ns0:rPr>
                <ns0:b ns0:val="1"/>
              </ns0:rPr>
              <ns0:t>Work program sign-off</ns0:t>
            </ns0:r>
          </ns0:p>
        </ns0:tc>
        <ns0:tc>
          <ns0:tcPr>
            <ns0:tcW ns0:w="3645" ns0:type="dxa"/>
          </ns0:tcPr>
          <ns0:p ns1:paraId="00000069">
            <ns0:r>
              <ns0:t xml:space="preserve">No input required. The sign-off details are auto-populated from the relevant SCOTABD work program.</ns0:t>
            </ns0:r>
          </ns0:p>
        </ns0:tc>
        <ns0:tc>
          <ns0:tcPr>
            <ns0:tcW ns0:w="3885" ns0:type="dxa"/>
          </ns0:tcPr>
          <ns0:p ns1:paraId="0000006A">
            <ns0:r>
              <ns0:t xml:space="preserve">No impact on the engagement file. Displays the sign-off status per SCOTABD for the partner’s review.</ns0:t>
            </ns0:r>
          </ns0:p>
        </ns0:tc>
      </ns0:tr>
      <ns0:tr ns1:paraId="0000006B">
        <ns0:tc>
          <ns0:tcPr>
            <ns0:tcW ns0:w="2580" ns0:type="dxa"/>
          </ns0:tcPr>
          <ns0:p ns1:paraId="0000006C">
            <ns0:pPr>
              <ns0:rPr>
                <ns0:b ns0:val="1"/>
              </ns0:rPr>
            </ns0:pPr>
            <ns0:r>
              <ns0:rPr>
                <ns0:b ns0:val="1"/>
              </ns0:rPr>
              <ns0:t>Partner comment</ns0:t>
            </ns0:r>
          </ns0:p>
        </ns0:tc>
        <ns0:tc>
          <ns0:tcPr>
            <ns0:tcW ns0:w="3645" ns0:type="dxa"/>
          </ns0:tcPr>
          <ns0:p ns1:paraId="0000006D">
            <ns0:r>
              <ns0:t xml:space="preserve">Enter any comments or observations relating to the SCOTABD section.</ns0:t>
            </ns0:r>
          </ns0:p>
        </ns0:tc>
        <ns0:tc>
          <ns0:tcPr>
            <ns0:tcW ns0:w="3885" ns0:type="dxa"/>
          </ns0:tcPr>
          <ns0:p ns1:paraId="0000006E">
            <ns0:r>
              <ns0:t xml:space="preserve">No impact on the engagement file. Documents the partner’s comments per SCOTABD for the engagement file.</ns0:t>
            </ns0:r>
          </ns0:p>
        </ns0:tc>
      </ns0:tr>
      <ns0:tr ns1:paraId="0000006F">
        <ns0:tc>
          <ns0:tcPr>
            <ns0:tcW ns0:w="10110" ns0:type="dxa"/>
            <ns0:gridSpan ns0:val="3"/>
          </ns0:tcPr>
          <ns0:p ns1:paraId="00000070">
            <ns0:pPr>
              <ns0:jc ns0:val="center"/>
              <ns0:rPr>
                <ns0:b ns0:val="1"/>
                <ns0:color ns0:val="FFFFFF"/>
              </ns0:rPr>
            </ns0:pPr>
            <ns0:r>
              <ns0:rPr>
                <ns0:b ns0:val="1"/>
              </ns0:rPr>
              <ns0:t>Engagement partner declaration</ns0:t>
            </ns0:r>
          </ns0:p>
        </ns0:tc>
      </ns0:tr>
      <ns0:tr ns1:paraId="00000071">
        <ns0:tc>
          <ns0:tcPr>
            <ns0:tcW ns0:w="2580" ns0:type="dxa"/>
          </ns0:tcPr>
          <ns0:p ns1:paraId="00000072">
            <ns0:pPr>
              <ns0:rPr>
                <ns0:b ns0:val="1"/>
              </ns0:rPr>
            </ns0:pPr>
            <ns0:r>
              <ns0:rPr>
                <ns0:b ns0:val="1"/>
              </ns0:rPr>
              <ns0:t>Questions</ns0:t>
            </ns0:r>
          </ns0:p>
        </ns0:tc>
        <ns0:tc>
          <ns0:tcPr>
            <ns0:tcW ns0:w="3645" ns0:type="dxa"/>
          </ns0:tcPr>
          <ns0:p ns1:paraId="00000073">
            <ns0:r>
              <ns0:t xml:space="preserve">No input is required in this column. Displays 16 questions addressing the engagement partner’s responsibilities under ISA 220, including ethical requirements, consultations, differences of opinions, audit documentation, significant judgments, audit evidence, financial statement review, key audit matters, communications, and the EQR process.</ns0:t>
            </ns0:r>
          </ns0:p>
        </ns0:tc>
        <ns0:tc>
          <ns0:tcPr>
            <ns0:tcW ns0:w="3885" ns0:type="dxa"/>
          </ns0:tcPr>
          <ns0:p ns1:paraId="00000074">
            <ns0:r>
              <ns0:t xml:space="preserve">No impact on the engagement file. Provides the declaration framework for the partner’s review.</ns0:t>
            </ns0:r>
          </ns0:p>
        </ns0:tc>
      </ns0:tr>
      <ns0:tr ns1:paraId="00000075">
        <ns0:tc>
          <ns0:tcPr>
            <ns0:tcW ns0:w="2580" ns0:type="dxa"/>
          </ns0:tcPr>
          <ns0:p ns1:paraId="00000076">
            <ns0:pPr>
              <ns0:rPr>
                <ns0:b ns0:val="1"/>
              </ns0:rPr>
            </ns0:pPr>
            <ns0:r>
              <ns0:rPr>
                <ns0:b ns0:val="1"/>
              </ns0:rPr>
              <ns0:t>Ref.</ns0:t>
            </ns0:r>
          </ns0:p>
        </ns0:tc>
        <ns0:tc>
          <ns0:tcPr>
            <ns0:tcW ns0:w="3645" ns0:type="dxa"/>
          </ns0:tcPr>
          <ns0:p ns1:paraId="00000077">
            <ns0:r>
              <ns0:t xml:space="preserve">Enter a cross-reference to the relevant working paper or supporting documentation for each declaration question.</ns0:t>
            </ns0:r>
          </ns0:p>
        </ns0:tc>
        <ns0:tc>
          <ns0:tcPr>
            <ns0:tcW ns0:w="3885" ns0:type="dxa"/>
          </ns0:tcPr>
          <ns0:p ns1:paraId="00000078">
            <ns0:r>
              <ns0:t xml:space="preserve">No impact on the engagement file. Documents the cross-reference for the engagement file.</ns0:t>
            </ns0:r>
          </ns0:p>
        </ns0:tc>
      </ns0:tr>
      <ns0:tr ns1:paraId="00000079">
        <ns0:tc>
          <ns0:tcPr>
            <ns0:tcW ns0:w="2580" ns0:type="dxa"/>
          </ns0:tcPr>
          <ns0:p ns1:paraId="0000007A">
            <ns0:pPr>
              <ns0:rPr>
                <ns0:b ns0:val="1"/>
              </ns0:rPr>
            </ns0:pPr>
            <ns0:r>
              <ns0:rPr>
                <ns0:b ns0:val="1"/>
              </ns0:rPr>
              <ns0:t>Detail</ns0:t>
            </ns0:r>
          </ns0:p>
        </ns0:tc>
        <ns0:tc>
          <ns0:tcPr>
            <ns0:tcW ns0:w="3645" ns0:type="dxa"/>
          </ns0:tcPr>
          <ns0:p ns1:paraId="0000007B">
            <ns0:r>
              <ns0:t xml:space="preserve">Enter a description or further detail in support of your response to each declaration question.</ns0:t>
            </ns0:r>
          </ns0:p>
        </ns0:tc>
        <ns0:tc>
          <ns0:tcPr>
            <ns0:tcW ns0:w="3885" ns0:type="dxa"/>
          </ns0:tcPr>
          <ns0:p ns1:paraId="0000007C">
            <ns0:r>
              <ns0:t xml:space="preserve">No impact on the engagement file. Documents the partner’s detail for the engagement file.</ns0:t>
            </ns0:r>
          </ns0:p>
        </ns0:tc>
      </ns0:tr>
      <ns0:tr ns1:paraId="0000007D">
        <ns0:tc>
          <ns0:tcPr>
            <ns0:tcW ns0:w="2580" ns0:type="dxa"/>
          </ns0:tcPr>
          <ns0:p ns1:paraId="0000007E">
            <ns0:pPr>
              <ns0:rPr>
                <ns0:b ns0:val="1"/>
              </ns0:rPr>
            </ns0:pPr>
            <ns0:r>
              <ns0:rPr>
                <ns0:b ns0:val="1"/>
              </ns0:rPr>
              <ns0:t>Yes / No</ns0:t>
            </ns0:r>
          </ns0:p>
        </ns0:tc>
        <ns0:tc>
          <ns0:tcPr>
            <ns0:tcW ns0:w="3645" ns0:type="dxa"/>
          </ns0:tcPr>
          <ns0:p ns1:paraId="0000007F">
            <ns0:r>
              <ns0:t xml:space="preserve">Select ‘Yes’ or ‘No’ to respond to each declaration question.</ns0:t>
            </ns0:r>
          </ns0:p>
        </ns0:tc>
        <ns0:tc>
          <ns0:tcPr>
            <ns0:tcW ns0:w="3885" ns0:type="dxa"/>
          </ns0:tcPr>
          <ns0:p ns1:paraId="00000080">
            <ns0:r>
              <ns0:t xml:space="preserve">No impact on the engagement file. Records the partner’s declaration response for the engagement file.</ns0:t>
            </ns0:r>
          </ns0:p>
        </ns0:tc>
      </ns0:tr>
      <ns0:tr ns1:paraId="00000081">
        <ns0:tc>
          <ns0:tcPr>
            <ns0:tcW ns0:w="10110" ns0:type="dxa"/>
            <ns0:gridSpan ns0:val="3"/>
          </ns0:tcPr>
          <ns0:p ns1:paraId="00000082">
            <ns0:pPr>
              <ns0:jc ns0:val="center"/>
              <ns0:rPr>
                <ns0:b ns0:val="1"/>
                <ns0:color ns0:val="FFFFFF"/>
              </ns0:rPr>
            </ns0:pPr>
            <ns0:r>
              <ns0:rPr>
                <ns0:b ns0:val="1"/>
              </ns0:rPr>
              <ns0:t>Partner sign-off</ns0:t>
            </ns0:r>
          </ns0:p>
        </ns0:tc>
      </ns0:tr>
      <ns0:tr ns1:paraId="00000083">
        <ns0:tc>
          <ns0:tcPr>
            <ns0:tcW ns0:w="2580" ns0:type="dxa"/>
          </ns0:tcPr>
          <ns0:p ns1:paraId="00000084">
            <ns0:pPr>
              <ns0:rPr>
                <ns0:b ns0:val="1"/>
              </ns0:rPr>
            </ns0:pPr>
            <ns0:r>
              <ns0:rPr>
                <ns0:b ns0:val="1"/>
              </ns0:rPr>
              <ns0:t>Firm mandatory – based on events and conditions present</ns0:t>
            </ns0:r>
          </ns0:p>
        </ns0:tc>
        <ns0:tc>
          <ns0:tcPr>
            <ns0:tcW ns0:w="3645" ns0:type="dxa"/>
          </ns0:tcPr>
          <ns0:p ns1:paraId="00000085">
            <ns0:r>
              <ns0:t xml:space="preserve">Select the tick box if a firm mandatory condition is present based on events and conditions identified during the engagement. Complete the Ref., Detail, and Yes/No columns as applicable.</ns0:t>
            </ns0:r>
          </ns0:p>
        </ns0:tc>
        <ns0:tc>
          <ns0:tcPr>
            <ns0:tcW ns0:w="3885" ns0:type="dxa"/>
          </ns0:tcPr>
          <ns0:p ns1:paraId="00000086">
            <ns0:r>
              <ns0:t xml:space="preserve">No impact on the engagement file. Documents any firm mandatory conditions for the engagement file.</ns0:t>
            </ns0:r>
          </ns0:p>
        </ns0:tc>
      </ns0:tr>
      <ns0:tr ns1:paraId="00000087">
        <ns0:tc>
          <ns0:tcPr>
            <ns0:tcW ns0:w="10110" ns0:type="dxa"/>
            <ns0:gridSpan ns0:val="3"/>
          </ns0:tcPr>
          <ns0:p ns1:paraId="00000088">
            <ns0:pPr>
              <ns0:jc ns0:val="center"/>
              <ns0:rPr>
                <ns0:b ns0:val="1"/>
                <ns0:color ns0:val="FFFFFF"/>
              </ns0:rPr>
            </ns0:pPr>
            <ns0:r>
              <ns0:rPr>
                <ns0:b ns0:val="1"/>
              </ns0:rPr>
              <ns0:t>Engagement partner</ns0:t>
            </ns0:r>
          </ns0:p>
        </ns0:tc>
      </ns0:tr>
      <ns0:tr ns1:paraId="00000089">
        <ns0:tc>
          <ns0:tcPr>
            <ns0:tcW ns0:w="2580" ns0:type="dxa"/>
          </ns0:tcPr>
          <ns0:p ns1:paraId="0000008A">
            <ns0:pPr>
              <ns0:rPr>
                <ns0:b ns0:val="1"/>
              </ns0:rPr>
            </ns0:pPr>
            <ns0:r>
              <ns0:rPr>
                <ns0:b ns0:val="1"/>
              </ns0:rPr>
              <ns0:t>Comment</ns0:t>
            </ns0:r>
          </ns0:p>
        </ns0:tc>
        <ns0:tc>
          <ns0:tcPr>
            <ns0:tcW ns0:w="3645" ns0:type="dxa"/>
          </ns0:tcPr>
          <ns0:p ns1:paraId="0000008B">
            <ns0:r>
              <ns0:t xml:space="preserve">Enter any overall comments relating to the engagement.</ns0:t>
            </ns0:r>
          </ns0:p>
        </ns0:tc>
        <ns0:tc>
          <ns0:tcPr>
            <ns0:tcW ns0:w="3885" ns0:type="dxa"/>
          </ns0:tcPr>
          <ns0:p ns1:paraId="0000008C">
            <ns0:r>
              <ns0:t xml:space="preserve">No impact on the engagement file. Documents the partner’s overall comment for the engagement file.</ns0:t>
            </ns0:r>
          </ns0:p>
        </ns0:tc>
      </ns0:tr>
      <ns0:tr ns1:paraId="0000008D">
        <ns0:tc>
          <ns0:tcPr>
            <ns0:tcW ns0:w="2580" ns0:type="dxa"/>
          </ns0:tcPr>
          <ns0:p ns1:paraId="0000008E">
            <ns0:pPr>
              <ns0:rPr>
                <ns0:b ns0:val="1"/>
              </ns0:rPr>
            </ns0:pPr>
            <ns0:r>
              <ns0:rPr>
                <ns0:b ns0:val="1"/>
              </ns0:rPr>
              <ns0:t>Name</ns0:t>
            </ns0:r>
          </ns0:p>
        </ns0:tc>
        <ns0:tc>
          <ns0:tcPr>
            <ns0:tcW ns0:w="3645" ns0:type="dxa"/>
          </ns0:tcPr>
          <ns0:p ns1:paraId="0000008F">
            <ns0:r>
              <ns0:t xml:space="preserve">Enter the name of the engagement partner.</ns0:t>
            </ns0:r>
          </ns0:p>
        </ns0:tc>
        <ns0:tc>
          <ns0:tcPr>
            <ns0:tcW ns0:w="3885" ns0:type="dxa"/>
          </ns0:tcPr>
          <ns0:p ns1:paraId="00000090">
            <ns0:r>
              <ns0:t xml:space="preserve">No impact on the engagement file. Records the engagement partner’s name for the engagement file.</ns0:t>
            </ns0:r>
          </ns0:p>
        </ns0:tc>
      </ns0:tr>
      <ns0:tr ns1:paraId="00000091">
        <ns0:tc>
          <ns0:tcPr>
            <ns0:tcW ns0:w="2580" ns0:type="dxa"/>
          </ns0:tcPr>
          <ns0:p ns1:paraId="00000092">
            <ns0:pPr>
              <ns0:rPr>
                <ns0:b ns0:val="1"/>
              </ns0:rPr>
            </ns0:pPr>
            <ns0:r>
              <ns0:rPr>
                <ns0:b ns0:val="1"/>
              </ns0:rPr>
              <ns0:t>Signature</ns0:t>
            </ns0:r>
          </ns0:p>
        </ns0:tc>
        <ns0:tc>
          <ns0:tcPr>
            <ns0:tcW ns0:w="3645" ns0:type="dxa"/>
          </ns0:tcPr>
          <ns0:p ns1:paraId="00000093">
            <ns0:r>
              <ns0:t xml:space="preserve">Enter or apply the engagement partner’s signature.</ns0:t>
            </ns0:r>
          </ns0:p>
        </ns0:tc>
        <ns0:tc>
          <ns0:tcPr>
            <ns0:tcW ns0:w="3885" ns0:type="dxa"/>
          </ns0:tcPr>
          <ns0:p ns1:paraId="00000094">
            <ns0:r>
              <ns0:t xml:space="preserve">No impact on the engagement file. Records the engagement partner’s signature for the engagement file.</ns0:t>
            </ns0:r>
          </ns0:p>
        </ns0:tc>
      </ns0:tr>
      <ns0:tr ns1:paraId="00000095">
        <ns0:tc>
          <ns0:tcPr>
            <ns0:tcW ns0:w="2580" ns0:type="dxa"/>
          </ns0:tcPr>
          <ns0:p ns1:paraId="00000096">
            <ns0:pPr>
              <ns0:rPr>
                <ns0:b ns0:val="1"/>
              </ns0:rPr>
            </ns0:pPr>
            <ns0:r>
              <ns0:rPr>
                <ns0:b ns0:val="1"/>
              </ns0:rPr>
              <ns0:t>Date</ns0:t>
            </ns0:r>
          </ns0:p>
        </ns0:tc>
        <ns0:tc>
          <ns0:tcPr>
            <ns0:tcW ns0:w="3645" ns0:type="dxa"/>
          </ns0:tcPr>
          <ns0:p ns1:paraId="00000097">
            <ns0:r>
              <ns0:t xml:space="preserve">Enter the date of the partner sign-off.</ns0:t>
            </ns0:r>
          </ns0:p>
        </ns0:tc>
        <ns0:tc>
          <ns0:tcPr>
            <ns0:tcW ns0:w="3885" ns0:type="dxa"/>
          </ns0:tcPr>
          <ns0:p ns1:paraId="00000098">
            <ns0:r>
              <ns0:t xml:space="preserve">No impact on the engagement file. Records the date of the partner’s sign-off for the engagement file.</ns0:t>
            </ns0:r>
          </ns0:p>
        </ns0:tc>
      </ns0:tr>
    </ns0:tbl>
    <ns0:p ns0:rsidR="00000000" ns0:rsidDel="00000000" ns0:rsidP="00000000" ns0:rsidRDefault="00000000" ns0:rsidRPr="00000000" ns1:paraId="10000012">
      <ns0:pPr>
        <ns0:rPr/>
      </ns0:pPr>
      <ns0:r>
        <ns0:pict>
          <ns6:rect style="width:0.0pt;height:1.5pt" ns7:hr="t" ns7:hrstd="t" ns7:hralign="center" fillcolor="#A0A0A0" stroked="f"/>
        </ns0:pict>
      </ns0:r>
    </ns0:p>
    <ns0:p ns0:rsidR="00000000" ns0:rsidDel="00000000" ns0:rsidP="00000000" ns0:rsidRDefault="00000000" ns0:rsidRPr="00000000" ns1:paraId="0000009A">
      <ns0:pPr>
        <ns0:pStyle ns0:val="Heading1"/>
      </ns0:pPr>
      <ns0:bookmarkStart ns0:colFirst="0" ns0:colLast="0" ns0:name="_docoutcomes0200" ns0:id="5"/>
      <ns0:bookmarkEnd ns0:id="5"/>
      <ns0:r>
        <ns0:rPr>
          <ns0:rtl ns0:val="0"/>
        </ns0:rPr>
        <ns0:t xml:space="preserve">Document outcomes</ns0:t>
      </ns0:r>
    </ns0:p>
    <ns0:p ns0:rsidR="00000000" ns0:rsidDel="00000000" ns0:rsidP="00000000" ns0:rsidRDefault="00000000" ns0:rsidRPr="00000000" ns1:paraId="0000009B">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partner must review the consolidated summary of risk assessments at financial statement and assertion level, work program progress and conclusions, and fraud risk responses to satisfy themselves that the audit has been performed in accordance with the Probe Audit Premium+ Methodology and applicable ISAs.</ns0:t>
      </ns0:r>
    </ns0:p>
    <ns0:p ns0:rsidR="00000000" ns0:rsidDel="00000000" ns0:rsidP="00000000" ns0:rsidRDefault="00000000" ns0:rsidRPr="00000000" ns1:paraId="0000009C">
      <ns0:pPr>
        <ns0:rPr/>
      </ns0:pPr>
    </ns0:p>
    <ns0:p ns0:rsidR="00000000" ns0:rsidDel="00000000" ns0:rsidP="00000000" ns0:rsidRDefault="00000000" ns0:rsidRPr="00000000" ns1:paraId="0000009D">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partner must complete the engagement partner declaration by responding to all 16 questions with ‘Yes’ or ‘No’, providing references and detail where applicable. These questions address the partner’s responsibilities under ISA 220, including ethical requirements, consultations, differences of opinions, audit documentation review, significant judgments, audit evidence, financial statement review, key audit matters, communications, and the engagement quality review process.</ns0:t>
      </ns0:r>
    </ns0:p>
    <ns0:p ns0:rsidR="00000000" ns0:rsidDel="00000000" ns0:rsidP="00000000" ns0:rsidRDefault="00000000" ns0:rsidRPr="00000000" ns1:paraId="0000009E">
      <ns0:pPr>
        <ns0:rPr/>
      </ns0:pPr>
    </ns0:p>
    <ns0:p ns0:rsidR="00000000" ns0:rsidDel="00000000" ns0:rsidP="00000000" ns0:rsidRDefault="00000000" ns0:rsidRPr="00000000" ns1:paraId="0000009F">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partner must complete the final sign-off by entering their comment, name, signature, and date, confirming that they have been sufficiently and appropriately involved throughout the audit engagement and that the significant judgments made and conclusions reached are appropriate.</ns0:t>
      </ns0:r>
    </ns0:p>
    <ns0:p ns0:rsidR="00000000" ns0:rsidDel="00000000" ns0:rsidP="00000000" ns0:rsidRDefault="00000000" ns0:rsidRPr="00000000" ns1:paraId="000000A0">
      <ns0:pPr>
        <ns0:rPr/>
      </ns0:pPr>
    </ns0:p>
    <ns0:p ns0:rsidR="00000000" ns0:rsidDel="00000000" ns0:rsidP="00000000" ns0:rsidRDefault="00000000" ns0:rsidRPr="00000000" ns1:paraId="000000A1">
      <ns0:pPr>
        <ns0:rPr/>
      </ns0:pPr>
      <ns0:r>
        <ns0:pict>
          <ns6:rect style="width:0.0pt;height:1.5pt" ns7:hr="t" ns7:hrstd="t" ns7:hralign="center" fillcolor="#A0A0A0" stroked="f"/>
        </ns0:pict>
      </ns0:r>
      <ns0:r>
        <ns0:rPr>
          <ns0:rtl ns0:val="0"/>
        </ns0:rPr>
      </ns0:r>
    </ns0:p>
    <ns0:p ns0:rsidR="00000000" ns0:rsidDel="00000000" ns0:rsidP="00000000" ns0:rsidRDefault="00000000" ns0:rsidRPr="00000000" ns1:paraId="000000A2">
      <ns0:pPr>
        <ns0:pStyle ns0:val="Heading1"/>
      </ns0:pPr>
      <ns0:bookmarkStart ns0:colFirst="0" ns0:colLast="0" ns0:name="_groupaudits0200" ns0:id="6"/>
      <ns0:bookmarkEnd ns0:id="6"/>
      <ns0:r>
        <ns0:rPr>
          <ns0:rtl ns0:val="0"/>
        </ns0:rPr>
        <ns0:t xml:space="preserve">Group Audits</ns0:t>
      </ns0:r>
    </ns0:p>
    <ns0:p ns0:rsidR="00000000" ns0:rsidDel="00000000" ns0:rsidP="00000000" ns0:rsidRDefault="00000000" ns0:rsidRPr="00000000" ns1:paraId="000000A3">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When the engagement type was selected as ‘Group Audit Single’ or ‘Group Audit Multiple’, the partner sign-off document will include additional SCOTABD sections and group-specific information relevant to the group audit engagement file. The engagement partner must review the consolidated summary for all components and ensure that sufficient appropriate audit evidence has been obtained to provide a basis for forming an opinion on the group financial statements.</ns0:t>
      </ns0:r>
    </ns0:p>
    <ns0:p ns0:rsidR="00000000" ns0:rsidDel="00000000" ns0:rsidP="00000000" ns0:rsidRDefault="00000000" ns0:rsidRPr="00000000" ns1:paraId="000000A4">
      <ns0:pPr>
        <ns0:pStyle ns0:val="Heading1"/>
      </ns0:pPr>
      <ns0:bookmarkStart ns0:colFirst="0" ns0:colLast="0" ns0:name="_conclusion0200" ns0:id="7"/>
      <ns0:bookmarkEnd ns0:id="7"/>
      <ns0:r>
        <ns0:rPr>
          <ns0:rtl ns0:val="0"/>
        </ns0:rPr>
        <ns0:t xml:space="preserve">IN CONCLUSION</ns0:t>
      </ns0:r>
    </ns0:p>
    <ns0:p ns0:rsidR="00000000" ns0:rsidDel="00000000" ns0:rsidP="00000000" ns0:rsidRDefault="00000000" ns0:rsidRPr="00000000" ns1:paraId="000000A5">
      <ns0:pPr>
        <ns0:pStyle ns0:val="Heading1"/>
      </ns0:pPr>
      <ns0:bookmarkStart ns0:colFirst="0" ns0:colLast="0" ns0:name="_features0200" ns0:id="8"/>
      <ns0:bookmarkEnd ns0:id="8"/>
      <ns0:r>
        <ns0:rPr>
          <ns0:rtl ns0:val="0"/>
        </ns0:rPr>
        <ns0:t xml:space="preserve">Features</ns0:t>
      </ns0:r>
    </ns0:p>
    <ns0:p ns0:rsidR="00000000" ns0:rsidDel="00000000" ns0:rsidP="00000000" ns0:rsidRDefault="00000000" ns0:rsidRPr="00000000" ns1:paraId="000000A6">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following features are available in the document:</ns0:t>
      </ns0:r>
    </ns0:p>
    <ns0:p ns0:rsidR="00000000" ns0:rsidDel="00000000" ns0:rsidP="00000000" ns0:rsidRDefault="00000000" ns0:rsidRPr="00000000" ns1:paraId="000000A7">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Insert or delete a comment, see page </ns0:t>
      </ns0:r>
      <ns0:r>
        <ns0:rPr>
          <ns0:rFonts ns0:ascii="Switzer" ns0:hAnsi="Switzer" ns0:cs="Switzer" ns0:eastAsia="Switzer"/>
          <ns0:b ns0:val="0"/>
          <ns0:color ns0:val="51626f"/>
          <ns0:sz ns0:val="20"/>
          <ns0:szCs ns0:val="20"/>
          <ns0:u ns0:val="single"/>
          <ns0:rtl ns0:val="0"/>
        </ns0:rPr>
        <ns0:t>F3</ns0:t>
      </ns0:r>
    </ns0:p>
    <ns0:p ns0:rsidR="00000000" ns0:rsidDel="00000000" ns0:rsidP="00000000" ns0:rsidRDefault="00000000" ns0:rsidRPr="00000000" ns1:paraId="000000A8">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Guidance, see page </ns0:t>
      </ns0:r>
      <ns0:r>
        <ns0:rPr>
          <ns0:rFonts ns0:ascii="Switzer" ns0:hAnsi="Switzer" ns0:cs="Switzer" ns0:eastAsia="Switzer"/>
          <ns0:b ns0:val="0"/>
          <ns0:color ns0:val="51626f"/>
          <ns0:sz ns0:val="20"/>
          <ns0:szCs ns0:val="20"/>
          <ns0:u ns0:val="single"/>
          <ns0:rtl ns0:val="0"/>
        </ns0:rPr>
        <ns0:t>F16</ns0:t>
      </ns0:r>
    </ns0:p>
    <ns0:p ns0:rsidR="00000000" ns0:rsidDel="00000000" ns0:rsidP="00000000" ns0:rsidRDefault="00000000" ns0:rsidRPr="00000000" ns1:paraId="000000A9">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Freeze, see page </ns0:t>
      </ns0:r>
      <ns0:r>
        <ns0:rPr>
          <ns0:rFonts ns0:ascii="Switzer" ns0:hAnsi="Switzer" ns0:cs="Switzer" ns0:eastAsia="Switzer"/>
          <ns0:b ns0:val="0"/>
          <ns0:color ns0:val="51626f"/>
          <ns0:sz ns0:val="20"/>
          <ns0:szCs ns0:val="20"/>
          <ns0:u ns0:val="single"/>
          <ns0:rtl ns0:val="0"/>
        </ns0:rPr>
        <ns0:t>F19</ns0:t>
      </ns0:r>
    </ns0:p>
    <ns0:p ns0:rsidR="00000000" ns0:rsidDel="00000000" ns0:rsidP="00000000" ns0:rsidRDefault="00000000" ns0:rsidRPr="00000000" ns1:paraId="000000AA">
      <ns0:pPr>
        <ns0:rPr/>
      </ns0:pPr>
    </ns0:p>
    <ns0:sectPr>
      <ns0:pgSz ns0:w="11906" ns0:h="16838" ns0:orient="portrait"/>
      <ns0:pgMar ns0:top="720" ns0:right="720" ns0:bottom="720" ns0:left="1080" ns0:header="720" ns0:footer="720" ns0:gutter="0"/>
      <ns0:pgNumType ns0:start="1"/>
      <ns0:cols ns0:space="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